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0A751" w14:textId="77777777" w:rsidR="005D6CE7" w:rsidRPr="0041421A" w:rsidRDefault="005D6CE7" w:rsidP="00160BBE"/>
    <w:p w14:paraId="4F0FBA8C" w14:textId="77777777" w:rsidR="005D6CE7" w:rsidRPr="0041421A" w:rsidRDefault="00995D1A" w:rsidP="00160BBE">
      <w:pPr>
        <w:pBdr>
          <w:bottom w:val="single" w:sz="8" w:space="14" w:color="9C7A26"/>
        </w:pBdr>
        <w:spacing w:after="120"/>
        <w:jc w:val="center"/>
        <w:rPr>
          <w:rFonts w:eastAsia="Georgia"/>
          <w:spacing w:val="20"/>
          <w:sz w:val="24"/>
          <w:szCs w:val="24"/>
        </w:rPr>
      </w:pPr>
      <w:r w:rsidRPr="0041421A">
        <w:rPr>
          <w:rFonts w:eastAsia="Georgia"/>
          <w:spacing w:val="20"/>
          <w:sz w:val="24"/>
          <w:szCs w:val="24"/>
        </w:rPr>
        <w:t>COMMONWEALTH OF VIRGINIA</w:t>
      </w:r>
    </w:p>
    <w:p w14:paraId="099F1E9A" w14:textId="1F29834C" w:rsidR="00976F70" w:rsidRPr="0041421A" w:rsidRDefault="00976F70" w:rsidP="00160BBE">
      <w:pPr>
        <w:pBdr>
          <w:bottom w:val="single" w:sz="8" w:space="14" w:color="9C7A26"/>
        </w:pBdr>
        <w:spacing w:after="120"/>
        <w:jc w:val="center"/>
      </w:pPr>
      <w:r w:rsidRPr="0041421A">
        <w:rPr>
          <w:rFonts w:eastAsia="Georgia"/>
          <w:spacing w:val="20"/>
          <w:sz w:val="24"/>
          <w:szCs w:val="24"/>
        </w:rPr>
        <w:t>Department of Energy</w:t>
      </w:r>
    </w:p>
    <w:p w14:paraId="268E4811" w14:textId="77777777" w:rsidR="000A5E2B" w:rsidRPr="0041421A" w:rsidRDefault="000A5E2B" w:rsidP="00160BBE">
      <w:pPr>
        <w:spacing w:after="200"/>
        <w:jc w:val="center"/>
        <w:rPr>
          <w:rFonts w:eastAsia="Georgia"/>
          <w:b/>
          <w:bCs/>
          <w:color w:val="1F3A5F"/>
          <w:sz w:val="56"/>
          <w:szCs w:val="56"/>
        </w:rPr>
      </w:pPr>
    </w:p>
    <w:p w14:paraId="3D72119F" w14:textId="77777777" w:rsidR="000A5E2B" w:rsidRPr="0041421A" w:rsidRDefault="000A5E2B" w:rsidP="00160BBE">
      <w:pPr>
        <w:spacing w:after="200"/>
        <w:jc w:val="center"/>
        <w:rPr>
          <w:rFonts w:eastAsia="Georgia"/>
          <w:b/>
          <w:bCs/>
          <w:color w:val="1F3A5F"/>
          <w:sz w:val="56"/>
          <w:szCs w:val="56"/>
        </w:rPr>
      </w:pPr>
    </w:p>
    <w:p w14:paraId="03371117" w14:textId="77777777" w:rsidR="00E9671B" w:rsidRDefault="00995D1A" w:rsidP="00160BBE">
      <w:pPr>
        <w:spacing w:after="200"/>
        <w:jc w:val="center"/>
        <w:rPr>
          <w:rFonts w:eastAsia="Georgia"/>
          <w:b/>
          <w:bCs/>
          <w:color w:val="1F3A5F"/>
          <w:sz w:val="56"/>
          <w:szCs w:val="56"/>
        </w:rPr>
      </w:pPr>
      <w:r w:rsidRPr="0041421A">
        <w:rPr>
          <w:rFonts w:eastAsia="Georgia"/>
          <w:b/>
          <w:bCs/>
          <w:color w:val="1F3A5F"/>
          <w:sz w:val="56"/>
          <w:szCs w:val="56"/>
        </w:rPr>
        <w:t xml:space="preserve">Distributed Energy Resources </w:t>
      </w:r>
    </w:p>
    <w:p w14:paraId="7235AB74" w14:textId="59F0BAB1" w:rsidR="005D6CE7" w:rsidRPr="0041421A" w:rsidRDefault="00995D1A" w:rsidP="00160BBE">
      <w:pPr>
        <w:spacing w:after="200"/>
        <w:jc w:val="center"/>
      </w:pPr>
      <w:r w:rsidRPr="0041421A">
        <w:rPr>
          <w:rFonts w:eastAsia="Georgia"/>
          <w:b/>
          <w:bCs/>
          <w:color w:val="1F3A5F"/>
          <w:sz w:val="56"/>
          <w:szCs w:val="56"/>
        </w:rPr>
        <w:t>Task Force</w:t>
      </w:r>
    </w:p>
    <w:p w14:paraId="0FFF804C" w14:textId="0ED0A5A5" w:rsidR="005D6CE7" w:rsidRPr="0041421A" w:rsidRDefault="00995D1A" w:rsidP="00160BBE">
      <w:pPr>
        <w:spacing w:after="600"/>
        <w:jc w:val="center"/>
      </w:pPr>
      <w:r w:rsidRPr="0041421A">
        <w:rPr>
          <w:rFonts w:eastAsia="Georgia"/>
          <w:i/>
          <w:iCs/>
          <w:color w:val="3D4A5C"/>
          <w:sz w:val="30"/>
          <w:szCs w:val="30"/>
        </w:rPr>
        <w:t>Report to t</w:t>
      </w:r>
      <w:r w:rsidR="000A5E2B" w:rsidRPr="0041421A">
        <w:rPr>
          <w:rFonts w:eastAsia="Georgia"/>
          <w:i/>
          <w:iCs/>
          <w:color w:val="3D4A5C"/>
          <w:sz w:val="30"/>
          <w:szCs w:val="30"/>
        </w:rPr>
        <w:t>h</w:t>
      </w:r>
      <w:r w:rsidRPr="0041421A">
        <w:rPr>
          <w:rFonts w:eastAsia="Georgia"/>
          <w:i/>
          <w:iCs/>
          <w:color w:val="3D4A5C"/>
          <w:sz w:val="30"/>
          <w:szCs w:val="30"/>
        </w:rPr>
        <w:t>e Governor and the General Assembly</w:t>
      </w:r>
    </w:p>
    <w:p w14:paraId="4CD95CCB" w14:textId="77777777" w:rsidR="000A5E2B" w:rsidRPr="0041421A" w:rsidRDefault="000A5E2B" w:rsidP="000A5E2B">
      <w:pPr>
        <w:spacing w:after="120"/>
        <w:jc w:val="center"/>
        <w:rPr>
          <w:color w:val="3D4A5C"/>
          <w:sz w:val="20"/>
          <w:szCs w:val="20"/>
        </w:rPr>
      </w:pPr>
    </w:p>
    <w:p w14:paraId="58F6A171" w14:textId="77777777" w:rsidR="000A5E2B" w:rsidRPr="0041421A" w:rsidRDefault="000A5E2B" w:rsidP="000A5E2B">
      <w:pPr>
        <w:spacing w:after="120"/>
        <w:jc w:val="center"/>
        <w:rPr>
          <w:color w:val="3D4A5C"/>
          <w:sz w:val="20"/>
          <w:szCs w:val="20"/>
        </w:rPr>
      </w:pPr>
    </w:p>
    <w:p w14:paraId="7B768FD8" w14:textId="49C9ACCA" w:rsidR="000A5E2B" w:rsidRPr="0041421A" w:rsidRDefault="00995D1A" w:rsidP="000A5E2B">
      <w:pPr>
        <w:spacing w:after="120"/>
        <w:jc w:val="center"/>
        <w:rPr>
          <w:sz w:val="20"/>
          <w:szCs w:val="20"/>
        </w:rPr>
      </w:pPr>
      <w:r w:rsidRPr="0041421A">
        <w:rPr>
          <w:sz w:val="20"/>
          <w:szCs w:val="20"/>
        </w:rPr>
        <w:t xml:space="preserve">Established pursuant to House Bill 285 / Senate Bill 223 </w:t>
      </w:r>
    </w:p>
    <w:p w14:paraId="57E9A086" w14:textId="7C76FA8B" w:rsidR="005D6CE7" w:rsidRPr="0041421A" w:rsidRDefault="00995D1A" w:rsidP="000A5E2B">
      <w:pPr>
        <w:spacing w:after="120"/>
        <w:jc w:val="center"/>
        <w:rPr>
          <w:sz w:val="20"/>
          <w:szCs w:val="20"/>
        </w:rPr>
      </w:pPr>
      <w:r w:rsidRPr="0041421A">
        <w:rPr>
          <w:sz w:val="20"/>
          <w:szCs w:val="20"/>
        </w:rPr>
        <w:t>(2026 Acts of Assembly, Chapters 1042/997)</w:t>
      </w:r>
    </w:p>
    <w:p w14:paraId="6CF7BD9B" w14:textId="77777777" w:rsidR="000A5E2B" w:rsidRPr="0041421A" w:rsidRDefault="000A5E2B" w:rsidP="00160BBE">
      <w:pPr>
        <w:spacing w:after="80"/>
        <w:jc w:val="center"/>
        <w:rPr>
          <w:color w:val="3D4A5C"/>
          <w:sz w:val="20"/>
          <w:szCs w:val="20"/>
        </w:rPr>
      </w:pPr>
    </w:p>
    <w:p w14:paraId="6D68D68D" w14:textId="77777777" w:rsidR="000A5E2B" w:rsidRPr="0041421A" w:rsidRDefault="000A5E2B" w:rsidP="00160BBE">
      <w:pPr>
        <w:spacing w:after="80"/>
        <w:jc w:val="center"/>
        <w:rPr>
          <w:b/>
          <w:color w:val="FF0000"/>
        </w:rPr>
      </w:pPr>
    </w:p>
    <w:p w14:paraId="7BE2CAEE" w14:textId="77777777" w:rsidR="000A5E2B" w:rsidRPr="0041421A" w:rsidRDefault="000A5E2B" w:rsidP="00160BBE">
      <w:pPr>
        <w:spacing w:after="80"/>
        <w:jc w:val="center"/>
        <w:rPr>
          <w:b/>
          <w:color w:val="FF0000"/>
        </w:rPr>
      </w:pPr>
    </w:p>
    <w:p w14:paraId="20A437AD" w14:textId="77777777" w:rsidR="000A5E2B" w:rsidRPr="0041421A" w:rsidRDefault="000A5E2B" w:rsidP="00160BBE">
      <w:pPr>
        <w:spacing w:after="80"/>
        <w:jc w:val="center"/>
        <w:rPr>
          <w:b/>
          <w:color w:val="FF0000"/>
        </w:rPr>
      </w:pPr>
    </w:p>
    <w:p w14:paraId="3ED9895F" w14:textId="7FADD1A0" w:rsidR="005D6CE7" w:rsidRPr="0041421A" w:rsidRDefault="00995D1A" w:rsidP="00160BBE">
      <w:pPr>
        <w:spacing w:after="80"/>
        <w:jc w:val="center"/>
        <w:rPr>
          <w:color w:val="FF0000"/>
        </w:rPr>
      </w:pPr>
      <w:r w:rsidRPr="0041421A">
        <w:rPr>
          <w:b/>
          <w:color w:val="FF0000"/>
        </w:rPr>
        <w:t>DRAFT — FOR TASK FORCE DISCUSSION PURPOSES ONLY</w:t>
      </w:r>
      <w:r w:rsidR="002205A8">
        <w:rPr>
          <w:b/>
          <w:color w:val="FF0000"/>
        </w:rPr>
        <w:t xml:space="preserve"> </w:t>
      </w:r>
    </w:p>
    <w:p w14:paraId="7B1B08A7" w14:textId="5C3ADF15" w:rsidR="655F2FAE" w:rsidRDefault="655F2FAE" w:rsidP="655F2FAE">
      <w:pPr>
        <w:spacing w:after="40" w:line="259" w:lineRule="auto"/>
        <w:jc w:val="center"/>
        <w:rPr>
          <w:i/>
          <w:iCs/>
          <w:color w:val="FF0000"/>
          <w:sz w:val="18"/>
          <w:szCs w:val="18"/>
        </w:rPr>
      </w:pPr>
    </w:p>
    <w:p w14:paraId="2A09512C" w14:textId="77777777" w:rsidR="000A5E2B" w:rsidRPr="0041421A" w:rsidRDefault="000A5E2B" w:rsidP="00160BBE">
      <w:pPr>
        <w:jc w:val="center"/>
        <w:rPr>
          <w:color w:val="6B7280"/>
          <w:sz w:val="18"/>
          <w:szCs w:val="18"/>
        </w:rPr>
      </w:pPr>
    </w:p>
    <w:p w14:paraId="23C725D8" w14:textId="77777777" w:rsidR="000A5E2B" w:rsidRPr="0041421A" w:rsidRDefault="000A5E2B" w:rsidP="00160BBE">
      <w:pPr>
        <w:jc w:val="center"/>
        <w:rPr>
          <w:color w:val="6B7280"/>
          <w:sz w:val="18"/>
          <w:szCs w:val="18"/>
        </w:rPr>
      </w:pPr>
    </w:p>
    <w:p w14:paraId="1B37A7A5" w14:textId="77777777" w:rsidR="000A5E2B" w:rsidRPr="0041421A" w:rsidRDefault="000A5E2B" w:rsidP="00160BBE">
      <w:pPr>
        <w:jc w:val="center"/>
        <w:rPr>
          <w:color w:val="6B7280"/>
          <w:sz w:val="18"/>
          <w:szCs w:val="18"/>
        </w:rPr>
      </w:pPr>
    </w:p>
    <w:p w14:paraId="15F45A9F" w14:textId="77777777" w:rsidR="000A5E2B" w:rsidRPr="0041421A" w:rsidRDefault="000A5E2B" w:rsidP="00160BBE">
      <w:pPr>
        <w:jc w:val="center"/>
        <w:rPr>
          <w:color w:val="6B7280"/>
          <w:sz w:val="18"/>
          <w:szCs w:val="18"/>
        </w:rPr>
      </w:pPr>
    </w:p>
    <w:p w14:paraId="7A1C7DC0" w14:textId="77777777" w:rsidR="000A5E2B" w:rsidRPr="0041421A" w:rsidRDefault="000A5E2B" w:rsidP="0041421A">
      <w:pPr>
        <w:rPr>
          <w:color w:val="6B7280"/>
          <w:sz w:val="18"/>
          <w:szCs w:val="18"/>
        </w:rPr>
      </w:pPr>
    </w:p>
    <w:p w14:paraId="59822A1B" w14:textId="77777777" w:rsidR="000A5E2B" w:rsidRPr="0041421A" w:rsidRDefault="000A5E2B" w:rsidP="00160BBE">
      <w:pPr>
        <w:jc w:val="center"/>
        <w:rPr>
          <w:color w:val="6B7280"/>
          <w:sz w:val="18"/>
          <w:szCs w:val="18"/>
        </w:rPr>
      </w:pPr>
    </w:p>
    <w:p w14:paraId="2AF160A8" w14:textId="77777777" w:rsidR="000A5E2B" w:rsidRPr="0041421A" w:rsidRDefault="000A5E2B" w:rsidP="00160BBE">
      <w:pPr>
        <w:jc w:val="center"/>
        <w:rPr>
          <w:color w:val="6B7280"/>
          <w:sz w:val="18"/>
          <w:szCs w:val="18"/>
        </w:rPr>
      </w:pPr>
    </w:p>
    <w:p w14:paraId="25332E1F" w14:textId="77777777" w:rsidR="000A5E2B" w:rsidRPr="0041421A" w:rsidRDefault="000A5E2B" w:rsidP="00160BBE">
      <w:pPr>
        <w:jc w:val="center"/>
        <w:rPr>
          <w:color w:val="6B7280"/>
          <w:sz w:val="18"/>
          <w:szCs w:val="18"/>
        </w:rPr>
      </w:pPr>
    </w:p>
    <w:p w14:paraId="56181E66" w14:textId="77777777" w:rsidR="000A5E2B" w:rsidRPr="0041421A" w:rsidRDefault="000A5E2B" w:rsidP="00160BBE">
      <w:pPr>
        <w:jc w:val="center"/>
        <w:rPr>
          <w:color w:val="6B7280"/>
          <w:sz w:val="18"/>
          <w:szCs w:val="18"/>
        </w:rPr>
      </w:pPr>
    </w:p>
    <w:p w14:paraId="2AB3D9C5" w14:textId="77777777" w:rsidR="000A5E2B" w:rsidRPr="0041421A" w:rsidRDefault="000A5E2B" w:rsidP="00160BBE">
      <w:pPr>
        <w:jc w:val="center"/>
        <w:rPr>
          <w:color w:val="6B7280"/>
          <w:sz w:val="18"/>
          <w:szCs w:val="18"/>
        </w:rPr>
      </w:pPr>
    </w:p>
    <w:p w14:paraId="77789D4C" w14:textId="77777777" w:rsidR="000A5E2B" w:rsidRPr="0041421A" w:rsidRDefault="000A5E2B" w:rsidP="00160BBE">
      <w:pPr>
        <w:jc w:val="center"/>
        <w:rPr>
          <w:color w:val="6B7280"/>
          <w:sz w:val="18"/>
          <w:szCs w:val="18"/>
        </w:rPr>
      </w:pPr>
    </w:p>
    <w:p w14:paraId="0D4245BA" w14:textId="77777777" w:rsidR="000A5E2B" w:rsidRPr="0041421A" w:rsidRDefault="000A5E2B" w:rsidP="00160BBE">
      <w:pPr>
        <w:jc w:val="center"/>
        <w:rPr>
          <w:color w:val="6B7280"/>
          <w:sz w:val="18"/>
          <w:szCs w:val="18"/>
        </w:rPr>
      </w:pPr>
    </w:p>
    <w:p w14:paraId="525D3216" w14:textId="77777777" w:rsidR="000A5E2B" w:rsidRPr="0041421A" w:rsidRDefault="000A5E2B" w:rsidP="00160BBE">
      <w:pPr>
        <w:jc w:val="center"/>
        <w:rPr>
          <w:color w:val="6B7280"/>
          <w:sz w:val="18"/>
          <w:szCs w:val="18"/>
        </w:rPr>
      </w:pPr>
    </w:p>
    <w:p w14:paraId="1F3C31EC" w14:textId="77777777" w:rsidR="000A5E2B" w:rsidRPr="0041421A" w:rsidRDefault="000A5E2B" w:rsidP="00160BBE">
      <w:pPr>
        <w:jc w:val="center"/>
        <w:rPr>
          <w:color w:val="6B7280"/>
          <w:sz w:val="18"/>
          <w:szCs w:val="18"/>
        </w:rPr>
      </w:pPr>
    </w:p>
    <w:p w14:paraId="23443202" w14:textId="77777777" w:rsidR="000A5E2B" w:rsidRPr="0041421A" w:rsidRDefault="000A5E2B" w:rsidP="00160BBE">
      <w:pPr>
        <w:jc w:val="center"/>
        <w:rPr>
          <w:color w:val="6B7280"/>
          <w:sz w:val="18"/>
          <w:szCs w:val="18"/>
        </w:rPr>
      </w:pPr>
    </w:p>
    <w:p w14:paraId="0D77D0A2" w14:textId="0DC55DF7" w:rsidR="005D6CE7" w:rsidRPr="0041421A" w:rsidRDefault="00995D1A" w:rsidP="000A5E2B">
      <w:pPr>
        <w:jc w:val="center"/>
        <w:sectPr w:rsidR="005D6CE7" w:rsidRPr="0041421A">
          <w:pgSz w:w="12240" w:h="15840"/>
          <w:pgMar w:top="1440" w:right="1440" w:bottom="1440" w:left="1440" w:header="708" w:footer="708" w:gutter="0"/>
          <w:cols w:space="720"/>
          <w:titlePg/>
          <w:docGrid w:linePitch="360"/>
        </w:sectPr>
      </w:pPr>
      <w:r w:rsidRPr="0041421A">
        <w:rPr>
          <w:sz w:val="18"/>
          <w:szCs w:val="18"/>
        </w:rPr>
        <w:t>August 2026</w:t>
      </w:r>
    </w:p>
    <w:p w14:paraId="488B9830" w14:textId="77777777" w:rsidR="005D6CE7" w:rsidRPr="0041421A" w:rsidRDefault="00995D1A" w:rsidP="00160BBE">
      <w:pPr>
        <w:pStyle w:val="Heading2"/>
        <w:spacing w:after="160"/>
        <w:rPr>
          <w:rFonts w:eastAsia="Georgia"/>
          <w:b/>
          <w:color w:val="1F3A5F"/>
        </w:rPr>
      </w:pPr>
      <w:bookmarkStart w:id="0" w:name="_Toc236838795"/>
      <w:bookmarkStart w:id="1" w:name="_Toc1701766094"/>
      <w:bookmarkStart w:id="2" w:name="_Toc1729886474"/>
      <w:bookmarkStart w:id="3" w:name="_Toc101506630"/>
      <w:bookmarkStart w:id="4" w:name="_Toc938743000"/>
      <w:bookmarkStart w:id="5" w:name="_Toc1538532005"/>
      <w:bookmarkStart w:id="6" w:name="_Toc631335475"/>
      <w:bookmarkStart w:id="7" w:name="_Toc242351703"/>
      <w:bookmarkStart w:id="8" w:name="_Toc390239687"/>
      <w:bookmarkStart w:id="9" w:name="_Toc817926642"/>
      <w:bookmarkStart w:id="10" w:name="_Toc1048729472"/>
      <w:bookmarkStart w:id="11" w:name="_Toc960794734"/>
      <w:bookmarkStart w:id="12" w:name="_Toc1077818899"/>
      <w:bookmarkStart w:id="13" w:name="_Toc295242285"/>
      <w:bookmarkStart w:id="14" w:name="_Toc498888307"/>
      <w:bookmarkStart w:id="15" w:name="_Toc1246086697"/>
      <w:bookmarkStart w:id="16" w:name="_Toc1085353045"/>
      <w:bookmarkStart w:id="17" w:name="_Toc496021306"/>
      <w:bookmarkStart w:id="18" w:name="_Toc1301594839"/>
      <w:bookmarkStart w:id="19" w:name="_Toc417475497"/>
      <w:bookmarkStart w:id="20" w:name="_Toc57798891"/>
      <w:bookmarkStart w:id="21" w:name="_Toc1136356506"/>
      <w:bookmarkStart w:id="22" w:name="_Toc963877654"/>
      <w:bookmarkStart w:id="23" w:name="_Toc1803926748"/>
      <w:bookmarkStart w:id="24" w:name="_Toc1147790451"/>
      <w:bookmarkStart w:id="25" w:name="_Toc1180911609"/>
      <w:bookmarkStart w:id="26" w:name="_Toc1856251275"/>
      <w:bookmarkStart w:id="27" w:name="_Toc1374102337"/>
      <w:bookmarkStart w:id="28" w:name="_Toc368141575"/>
      <w:bookmarkStart w:id="29" w:name="_Toc617243551"/>
      <w:bookmarkStart w:id="30" w:name="_Toc604930731"/>
      <w:bookmarkStart w:id="31" w:name="_Toc232327435"/>
      <w:bookmarkStart w:id="32" w:name="_Toc1603968249"/>
      <w:bookmarkStart w:id="33" w:name="_Toc1236447520"/>
      <w:bookmarkStart w:id="34" w:name="_Toc816815489"/>
      <w:bookmarkStart w:id="35" w:name="_Toc172110755"/>
      <w:bookmarkStart w:id="36" w:name="_Toc1702930745"/>
      <w:bookmarkStart w:id="37" w:name="_Toc353627351"/>
      <w:bookmarkStart w:id="38" w:name="_Toc1259764291"/>
      <w:bookmarkStart w:id="39" w:name="_Toc811908990"/>
      <w:bookmarkStart w:id="40" w:name="_Toc2011620627"/>
      <w:bookmarkStart w:id="41" w:name="_Toc158299244"/>
      <w:bookmarkStart w:id="42" w:name="_Toc1177559830"/>
      <w:bookmarkStart w:id="43" w:name="_Toc1982050927"/>
      <w:bookmarkStart w:id="44" w:name="_Toc1185392110"/>
      <w:bookmarkStart w:id="45" w:name="_Toc1102349872"/>
      <w:bookmarkStart w:id="46" w:name="_Toc530393981"/>
      <w:bookmarkStart w:id="47" w:name="_Toc731188270"/>
      <w:bookmarkStart w:id="48" w:name="_Toc1005227109"/>
      <w:bookmarkStart w:id="49" w:name="_Toc239862874"/>
      <w:r w:rsidRPr="0041421A">
        <w:rPr>
          <w:rFonts w:eastAsia="Georgia"/>
          <w:b/>
          <w:bCs/>
          <w:color w:val="1F3A5F"/>
        </w:rPr>
        <w:t>Table of Contents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sdt>
      <w:sdtPr>
        <w:alias w:val="Table of Contents"/>
        <w:id w:val="-735770400"/>
      </w:sdtPr>
      <w:sdtContent>
        <w:p w14:paraId="72721A26" w14:textId="5C552946" w:rsidR="002205A8" w:rsidRPr="00C44C44" w:rsidRDefault="634DD210" w:rsidP="00C44C44">
          <w:pPr>
            <w:pStyle w:val="TOC2"/>
            <w:tabs>
              <w:tab w:val="right" w:leader="dot" w:pos="9350"/>
            </w:tabs>
            <w:rPr>
              <w:rFonts w:asciiTheme="minorHAnsi" w:eastAsiaTheme="minorEastAsia" w:hAnsiTheme="minorHAnsi" w:cstheme="minorBidi"/>
              <w:noProof/>
              <w:kern w:val="2"/>
              <w:sz w:val="24"/>
              <w:szCs w:val="24"/>
              <w14:ligatures w14:val="standardContextual"/>
            </w:rPr>
          </w:pPr>
          <w:r w:rsidRPr="00C44C44">
            <w:fldChar w:fldCharType="begin"/>
          </w:r>
          <w:r w:rsidR="00C94ACA" w:rsidRPr="00C44C44">
            <w:instrText>TOC \z \u \h</w:instrText>
          </w:r>
          <w:r w:rsidRPr="00C44C44">
            <w:fldChar w:fldCharType="separate"/>
          </w:r>
        </w:p>
        <w:p w14:paraId="1E6217F2" w14:textId="0B877527" w:rsidR="002205A8" w:rsidRPr="00C44C44" w:rsidRDefault="002205A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9862877" w:history="1">
            <w:r w:rsidRPr="00C44C44">
              <w:rPr>
                <w:rStyle w:val="Hyperlink"/>
                <w:rFonts w:eastAsia="Georgia"/>
                <w:noProof/>
              </w:rPr>
              <w:t>1. Executive Summary &amp; Key Findings</w:t>
            </w:r>
            <w:r w:rsidRPr="00C44C44">
              <w:rPr>
                <w:noProof/>
                <w:webHidden/>
              </w:rPr>
              <w:tab/>
            </w:r>
            <w:r w:rsidRPr="00C44C44">
              <w:rPr>
                <w:noProof/>
                <w:webHidden/>
              </w:rPr>
              <w:fldChar w:fldCharType="begin"/>
            </w:r>
            <w:r w:rsidRPr="00C44C44">
              <w:rPr>
                <w:noProof/>
                <w:webHidden/>
              </w:rPr>
              <w:instrText xml:space="preserve"> PAGEREF _Toc239862877 \h </w:instrText>
            </w:r>
            <w:r w:rsidRPr="00C44C44">
              <w:rPr>
                <w:noProof/>
                <w:webHidden/>
              </w:rPr>
            </w:r>
            <w:r w:rsidRPr="00C44C44">
              <w:rPr>
                <w:noProof/>
                <w:webHidden/>
              </w:rPr>
              <w:fldChar w:fldCharType="separate"/>
            </w:r>
            <w:r w:rsidRPr="00C44C44">
              <w:rPr>
                <w:noProof/>
                <w:webHidden/>
              </w:rPr>
              <w:t>7</w:t>
            </w:r>
            <w:r w:rsidRPr="00C44C44">
              <w:rPr>
                <w:noProof/>
                <w:webHidden/>
              </w:rPr>
              <w:fldChar w:fldCharType="end"/>
            </w:r>
          </w:hyperlink>
        </w:p>
        <w:p w14:paraId="296DE2C7" w14:textId="5845DB96" w:rsidR="002205A8" w:rsidRPr="00C44C44" w:rsidRDefault="002205A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9862880" w:history="1">
            <w:r w:rsidRPr="00C44C44">
              <w:rPr>
                <w:rStyle w:val="Hyperlink"/>
                <w:rFonts w:eastAsia="Georgia"/>
                <w:noProof/>
              </w:rPr>
              <w:t>2. Introduction</w:t>
            </w:r>
            <w:r w:rsidRPr="00C44C44">
              <w:rPr>
                <w:noProof/>
                <w:webHidden/>
              </w:rPr>
              <w:tab/>
            </w:r>
            <w:r w:rsidRPr="00C44C44">
              <w:rPr>
                <w:noProof/>
                <w:webHidden/>
              </w:rPr>
              <w:fldChar w:fldCharType="begin"/>
            </w:r>
            <w:r w:rsidRPr="00C44C44">
              <w:rPr>
                <w:noProof/>
                <w:webHidden/>
              </w:rPr>
              <w:instrText xml:space="preserve"> PAGEREF _Toc239862880 \h </w:instrText>
            </w:r>
            <w:r w:rsidRPr="00C44C44">
              <w:rPr>
                <w:noProof/>
                <w:webHidden/>
              </w:rPr>
            </w:r>
            <w:r w:rsidRPr="00C44C44">
              <w:rPr>
                <w:noProof/>
                <w:webHidden/>
              </w:rPr>
              <w:fldChar w:fldCharType="separate"/>
            </w:r>
            <w:r w:rsidRPr="00C44C44">
              <w:rPr>
                <w:noProof/>
                <w:webHidden/>
              </w:rPr>
              <w:t>8</w:t>
            </w:r>
            <w:r w:rsidRPr="00C44C44">
              <w:rPr>
                <w:noProof/>
                <w:webHidden/>
              </w:rPr>
              <w:fldChar w:fldCharType="end"/>
            </w:r>
          </w:hyperlink>
        </w:p>
        <w:p w14:paraId="77A1B053" w14:textId="7FCBD90F"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881" w:history="1">
            <w:r w:rsidRPr="00C44C44">
              <w:rPr>
                <w:rStyle w:val="Hyperlink"/>
                <w:rFonts w:eastAsia="Georgia"/>
                <w:noProof/>
              </w:rPr>
              <w:t>2.1 Statutory Mandate and Objectives of the Task Force</w:t>
            </w:r>
            <w:r w:rsidRPr="00C44C44">
              <w:rPr>
                <w:noProof/>
                <w:webHidden/>
              </w:rPr>
              <w:tab/>
            </w:r>
            <w:r w:rsidRPr="00C44C44">
              <w:rPr>
                <w:noProof/>
                <w:webHidden/>
              </w:rPr>
              <w:fldChar w:fldCharType="begin"/>
            </w:r>
            <w:r w:rsidRPr="00C44C44">
              <w:rPr>
                <w:noProof/>
                <w:webHidden/>
              </w:rPr>
              <w:instrText xml:space="preserve"> PAGEREF _Toc239862881 \h </w:instrText>
            </w:r>
            <w:r w:rsidRPr="00C44C44">
              <w:rPr>
                <w:noProof/>
                <w:webHidden/>
              </w:rPr>
            </w:r>
            <w:r w:rsidRPr="00C44C44">
              <w:rPr>
                <w:noProof/>
                <w:webHidden/>
              </w:rPr>
              <w:fldChar w:fldCharType="separate"/>
            </w:r>
            <w:r w:rsidRPr="00C44C44">
              <w:rPr>
                <w:noProof/>
                <w:webHidden/>
              </w:rPr>
              <w:t>8</w:t>
            </w:r>
            <w:r w:rsidRPr="00C44C44">
              <w:rPr>
                <w:noProof/>
                <w:webHidden/>
              </w:rPr>
              <w:fldChar w:fldCharType="end"/>
            </w:r>
          </w:hyperlink>
        </w:p>
        <w:p w14:paraId="10F65DA9" w14:textId="707FDA16" w:rsidR="002205A8" w:rsidRPr="00C44C44" w:rsidRDefault="002205A8">
          <w:pPr>
            <w:pStyle w:val="TOC2"/>
            <w:tabs>
              <w:tab w:val="left" w:pos="960"/>
              <w:tab w:val="right" w:leader="dot" w:pos="9350"/>
            </w:tabs>
            <w:rPr>
              <w:rFonts w:asciiTheme="minorHAnsi" w:eastAsiaTheme="minorEastAsia" w:hAnsiTheme="minorHAnsi" w:cstheme="minorBidi"/>
              <w:noProof/>
              <w:kern w:val="2"/>
              <w:sz w:val="24"/>
              <w:szCs w:val="24"/>
              <w14:ligatures w14:val="standardContextual"/>
            </w:rPr>
          </w:pPr>
          <w:hyperlink w:anchor="_Toc239862882" w:history="1">
            <w:r w:rsidRPr="00C44C44">
              <w:rPr>
                <w:rStyle w:val="Hyperlink"/>
                <w:rFonts w:eastAsia="Georgia"/>
                <w:noProof/>
              </w:rPr>
              <w:t>2.2</w:t>
            </w:r>
            <w:r w:rsidRPr="00C44C44">
              <w:rPr>
                <w:rFonts w:asciiTheme="minorHAnsi" w:eastAsiaTheme="minorEastAsia" w:hAnsiTheme="minorHAnsi" w:cstheme="minorBidi"/>
                <w:noProof/>
                <w:kern w:val="2"/>
                <w:sz w:val="24"/>
                <w:szCs w:val="24"/>
                <w14:ligatures w14:val="standardContextual"/>
              </w:rPr>
              <w:tab/>
            </w:r>
            <w:r w:rsidRPr="00C44C44">
              <w:rPr>
                <w:rStyle w:val="Hyperlink"/>
                <w:rFonts w:eastAsia="Georgia"/>
                <w:noProof/>
              </w:rPr>
              <w:t>Overview of Task Force Approach and Process</w:t>
            </w:r>
            <w:r w:rsidRPr="00C44C44">
              <w:rPr>
                <w:noProof/>
                <w:webHidden/>
              </w:rPr>
              <w:tab/>
            </w:r>
            <w:r w:rsidRPr="00C44C44">
              <w:rPr>
                <w:noProof/>
                <w:webHidden/>
              </w:rPr>
              <w:fldChar w:fldCharType="begin"/>
            </w:r>
            <w:r w:rsidRPr="00C44C44">
              <w:rPr>
                <w:noProof/>
                <w:webHidden/>
              </w:rPr>
              <w:instrText xml:space="preserve"> PAGEREF _Toc239862882 \h </w:instrText>
            </w:r>
            <w:r w:rsidRPr="00C44C44">
              <w:rPr>
                <w:noProof/>
                <w:webHidden/>
              </w:rPr>
            </w:r>
            <w:r w:rsidRPr="00C44C44">
              <w:rPr>
                <w:noProof/>
                <w:webHidden/>
              </w:rPr>
              <w:fldChar w:fldCharType="separate"/>
            </w:r>
            <w:r w:rsidRPr="00C44C44">
              <w:rPr>
                <w:noProof/>
                <w:webHidden/>
              </w:rPr>
              <w:t>8</w:t>
            </w:r>
            <w:r w:rsidRPr="00C44C44">
              <w:rPr>
                <w:noProof/>
                <w:webHidden/>
              </w:rPr>
              <w:fldChar w:fldCharType="end"/>
            </w:r>
          </w:hyperlink>
        </w:p>
        <w:p w14:paraId="5673D976" w14:textId="35382867"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883" w:history="1">
            <w:r w:rsidRPr="00C44C44">
              <w:rPr>
                <w:rStyle w:val="Hyperlink"/>
                <w:noProof/>
              </w:rPr>
              <w:t>Scope of Task Force Efforts</w:t>
            </w:r>
            <w:r w:rsidRPr="00C44C44">
              <w:rPr>
                <w:noProof/>
                <w:webHidden/>
              </w:rPr>
              <w:tab/>
            </w:r>
            <w:r w:rsidRPr="00C44C44">
              <w:rPr>
                <w:noProof/>
                <w:webHidden/>
              </w:rPr>
              <w:fldChar w:fldCharType="begin"/>
            </w:r>
            <w:r w:rsidRPr="00C44C44">
              <w:rPr>
                <w:noProof/>
                <w:webHidden/>
              </w:rPr>
              <w:instrText xml:space="preserve"> PAGEREF _Toc239862883 \h </w:instrText>
            </w:r>
            <w:r w:rsidRPr="00C44C44">
              <w:rPr>
                <w:noProof/>
                <w:webHidden/>
              </w:rPr>
            </w:r>
            <w:r w:rsidRPr="00C44C44">
              <w:rPr>
                <w:noProof/>
                <w:webHidden/>
              </w:rPr>
              <w:fldChar w:fldCharType="separate"/>
            </w:r>
            <w:r w:rsidRPr="00C44C44">
              <w:rPr>
                <w:noProof/>
                <w:webHidden/>
              </w:rPr>
              <w:t>8</w:t>
            </w:r>
            <w:r w:rsidRPr="00C44C44">
              <w:rPr>
                <w:noProof/>
                <w:webHidden/>
              </w:rPr>
              <w:fldChar w:fldCharType="end"/>
            </w:r>
          </w:hyperlink>
        </w:p>
        <w:p w14:paraId="356A5F21" w14:textId="3DC7232B"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884" w:history="1">
            <w:r w:rsidRPr="00C44C44">
              <w:rPr>
                <w:rStyle w:val="Hyperlink"/>
                <w:rFonts w:eastAsia="Georgia"/>
                <w:noProof/>
              </w:rPr>
              <w:t>2.3 Purpose and Contents of this Report</w:t>
            </w:r>
            <w:r w:rsidRPr="00C44C44">
              <w:rPr>
                <w:noProof/>
                <w:webHidden/>
              </w:rPr>
              <w:tab/>
            </w:r>
            <w:r w:rsidRPr="00C44C44">
              <w:rPr>
                <w:noProof/>
                <w:webHidden/>
              </w:rPr>
              <w:fldChar w:fldCharType="begin"/>
            </w:r>
            <w:r w:rsidRPr="00C44C44">
              <w:rPr>
                <w:noProof/>
                <w:webHidden/>
              </w:rPr>
              <w:instrText xml:space="preserve"> PAGEREF _Toc239862884 \h </w:instrText>
            </w:r>
            <w:r w:rsidRPr="00C44C44">
              <w:rPr>
                <w:noProof/>
                <w:webHidden/>
              </w:rPr>
            </w:r>
            <w:r w:rsidRPr="00C44C44">
              <w:rPr>
                <w:noProof/>
                <w:webHidden/>
              </w:rPr>
              <w:fldChar w:fldCharType="separate"/>
            </w:r>
            <w:r w:rsidRPr="00C44C44">
              <w:rPr>
                <w:noProof/>
                <w:webHidden/>
              </w:rPr>
              <w:t>9</w:t>
            </w:r>
            <w:r w:rsidRPr="00C44C44">
              <w:rPr>
                <w:noProof/>
                <w:webHidden/>
              </w:rPr>
              <w:fldChar w:fldCharType="end"/>
            </w:r>
          </w:hyperlink>
        </w:p>
        <w:p w14:paraId="4CD057F8" w14:textId="6E1BA113"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885" w:history="1">
            <w:r w:rsidRPr="00C44C44">
              <w:rPr>
                <w:rStyle w:val="Hyperlink"/>
                <w:rFonts w:eastAsia="Georgia"/>
                <w:noProof/>
              </w:rPr>
              <w:t>2.4 Definitions</w:t>
            </w:r>
            <w:r w:rsidRPr="00C44C44">
              <w:rPr>
                <w:noProof/>
                <w:webHidden/>
              </w:rPr>
              <w:tab/>
            </w:r>
            <w:r w:rsidRPr="00C44C44">
              <w:rPr>
                <w:noProof/>
                <w:webHidden/>
              </w:rPr>
              <w:fldChar w:fldCharType="begin"/>
            </w:r>
            <w:r w:rsidRPr="00C44C44">
              <w:rPr>
                <w:noProof/>
                <w:webHidden/>
              </w:rPr>
              <w:instrText xml:space="preserve"> PAGEREF _Toc239862885 \h </w:instrText>
            </w:r>
            <w:r w:rsidRPr="00C44C44">
              <w:rPr>
                <w:noProof/>
                <w:webHidden/>
              </w:rPr>
            </w:r>
            <w:r w:rsidRPr="00C44C44">
              <w:rPr>
                <w:noProof/>
                <w:webHidden/>
              </w:rPr>
              <w:fldChar w:fldCharType="separate"/>
            </w:r>
            <w:r w:rsidRPr="00C44C44">
              <w:rPr>
                <w:noProof/>
                <w:webHidden/>
              </w:rPr>
              <w:t>9</w:t>
            </w:r>
            <w:r w:rsidRPr="00C44C44">
              <w:rPr>
                <w:noProof/>
                <w:webHidden/>
              </w:rPr>
              <w:fldChar w:fldCharType="end"/>
            </w:r>
          </w:hyperlink>
        </w:p>
        <w:p w14:paraId="6FCB9CE8" w14:textId="42971B8E"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886" w:history="1">
            <w:r w:rsidRPr="00C44C44">
              <w:rPr>
                <w:rStyle w:val="Hyperlink"/>
                <w:rFonts w:eastAsia="Georgia"/>
                <w:noProof/>
              </w:rPr>
              <w:t>2.4.1 DERs vs. VPPs</w:t>
            </w:r>
            <w:r w:rsidRPr="00C44C44">
              <w:rPr>
                <w:noProof/>
                <w:webHidden/>
              </w:rPr>
              <w:tab/>
            </w:r>
            <w:r w:rsidRPr="00C44C44">
              <w:rPr>
                <w:noProof/>
                <w:webHidden/>
              </w:rPr>
              <w:fldChar w:fldCharType="begin"/>
            </w:r>
            <w:r w:rsidRPr="00C44C44">
              <w:rPr>
                <w:noProof/>
                <w:webHidden/>
              </w:rPr>
              <w:instrText xml:space="preserve"> PAGEREF _Toc239862886 \h </w:instrText>
            </w:r>
            <w:r w:rsidRPr="00C44C44">
              <w:rPr>
                <w:noProof/>
                <w:webHidden/>
              </w:rPr>
            </w:r>
            <w:r w:rsidRPr="00C44C44">
              <w:rPr>
                <w:noProof/>
                <w:webHidden/>
              </w:rPr>
              <w:fldChar w:fldCharType="separate"/>
            </w:r>
            <w:r w:rsidRPr="00C44C44">
              <w:rPr>
                <w:noProof/>
                <w:webHidden/>
              </w:rPr>
              <w:t>9</w:t>
            </w:r>
            <w:r w:rsidRPr="00C44C44">
              <w:rPr>
                <w:noProof/>
                <w:webHidden/>
              </w:rPr>
              <w:fldChar w:fldCharType="end"/>
            </w:r>
          </w:hyperlink>
        </w:p>
        <w:p w14:paraId="714F6BFC" w14:textId="04F66C06"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887" w:history="1">
            <w:r w:rsidRPr="00C44C44">
              <w:rPr>
                <w:rStyle w:val="Hyperlink"/>
                <w:rFonts w:eastAsia="Georgia"/>
                <w:noProof/>
              </w:rPr>
              <w:t>2.4.2 Definitions of Related Terms</w:t>
            </w:r>
            <w:r w:rsidRPr="00C44C44">
              <w:rPr>
                <w:noProof/>
                <w:webHidden/>
              </w:rPr>
              <w:tab/>
            </w:r>
            <w:r w:rsidRPr="00C44C44">
              <w:rPr>
                <w:noProof/>
                <w:webHidden/>
              </w:rPr>
              <w:fldChar w:fldCharType="begin"/>
            </w:r>
            <w:r w:rsidRPr="00C44C44">
              <w:rPr>
                <w:noProof/>
                <w:webHidden/>
              </w:rPr>
              <w:instrText xml:space="preserve"> PAGEREF _Toc239862887 \h </w:instrText>
            </w:r>
            <w:r w:rsidRPr="00C44C44">
              <w:rPr>
                <w:noProof/>
                <w:webHidden/>
              </w:rPr>
            </w:r>
            <w:r w:rsidRPr="00C44C44">
              <w:rPr>
                <w:noProof/>
                <w:webHidden/>
              </w:rPr>
              <w:fldChar w:fldCharType="separate"/>
            </w:r>
            <w:r w:rsidRPr="00C44C44">
              <w:rPr>
                <w:noProof/>
                <w:webHidden/>
              </w:rPr>
              <w:t>10</w:t>
            </w:r>
            <w:r w:rsidRPr="00C44C44">
              <w:rPr>
                <w:noProof/>
                <w:webHidden/>
              </w:rPr>
              <w:fldChar w:fldCharType="end"/>
            </w:r>
          </w:hyperlink>
        </w:p>
        <w:p w14:paraId="0EEE9E8E" w14:textId="58F5575E" w:rsidR="002205A8" w:rsidRPr="00C44C44" w:rsidRDefault="002205A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9862888" w:history="1">
            <w:r w:rsidRPr="00C44C44">
              <w:rPr>
                <w:rStyle w:val="Hyperlink"/>
                <w:rFonts w:eastAsia="Georgia"/>
                <w:noProof/>
              </w:rPr>
              <w:t>3. Vision for DERs and VPPs in the Commonwealth</w:t>
            </w:r>
            <w:r w:rsidRPr="00C44C44">
              <w:rPr>
                <w:noProof/>
                <w:webHidden/>
              </w:rPr>
              <w:tab/>
            </w:r>
            <w:r w:rsidRPr="00C44C44">
              <w:rPr>
                <w:noProof/>
                <w:webHidden/>
              </w:rPr>
              <w:fldChar w:fldCharType="begin"/>
            </w:r>
            <w:r w:rsidRPr="00C44C44">
              <w:rPr>
                <w:noProof/>
                <w:webHidden/>
              </w:rPr>
              <w:instrText xml:space="preserve"> PAGEREF _Toc239862888 \h </w:instrText>
            </w:r>
            <w:r w:rsidRPr="00C44C44">
              <w:rPr>
                <w:noProof/>
                <w:webHidden/>
              </w:rPr>
            </w:r>
            <w:r w:rsidRPr="00C44C44">
              <w:rPr>
                <w:noProof/>
                <w:webHidden/>
              </w:rPr>
              <w:fldChar w:fldCharType="separate"/>
            </w:r>
            <w:r w:rsidRPr="00C44C44">
              <w:rPr>
                <w:noProof/>
                <w:webHidden/>
              </w:rPr>
              <w:t>12</w:t>
            </w:r>
            <w:r w:rsidRPr="00C44C44">
              <w:rPr>
                <w:noProof/>
                <w:webHidden/>
              </w:rPr>
              <w:fldChar w:fldCharType="end"/>
            </w:r>
          </w:hyperlink>
        </w:p>
        <w:p w14:paraId="734578BC" w14:textId="5A0C32A5"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889" w:history="1">
            <w:r w:rsidRPr="00C44C44">
              <w:rPr>
                <w:rStyle w:val="Hyperlink"/>
                <w:rFonts w:eastAsia="Georgia"/>
                <w:noProof/>
              </w:rPr>
              <w:t>3.1 Key Benefits of DERs and VPPs</w:t>
            </w:r>
            <w:r w:rsidRPr="00C44C44">
              <w:rPr>
                <w:noProof/>
                <w:webHidden/>
              </w:rPr>
              <w:tab/>
            </w:r>
            <w:r w:rsidRPr="00C44C44">
              <w:rPr>
                <w:noProof/>
                <w:webHidden/>
              </w:rPr>
              <w:fldChar w:fldCharType="begin"/>
            </w:r>
            <w:r w:rsidRPr="00C44C44">
              <w:rPr>
                <w:noProof/>
                <w:webHidden/>
              </w:rPr>
              <w:instrText xml:space="preserve"> PAGEREF _Toc239862889 \h </w:instrText>
            </w:r>
            <w:r w:rsidRPr="00C44C44">
              <w:rPr>
                <w:noProof/>
                <w:webHidden/>
              </w:rPr>
            </w:r>
            <w:r w:rsidRPr="00C44C44">
              <w:rPr>
                <w:noProof/>
                <w:webHidden/>
              </w:rPr>
              <w:fldChar w:fldCharType="separate"/>
            </w:r>
            <w:r w:rsidRPr="00C44C44">
              <w:rPr>
                <w:noProof/>
                <w:webHidden/>
              </w:rPr>
              <w:t>12</w:t>
            </w:r>
            <w:r w:rsidRPr="00C44C44">
              <w:rPr>
                <w:noProof/>
                <w:webHidden/>
              </w:rPr>
              <w:fldChar w:fldCharType="end"/>
            </w:r>
          </w:hyperlink>
        </w:p>
        <w:p w14:paraId="4B35CB9E" w14:textId="0FFD9DDD"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890" w:history="1">
            <w:r w:rsidRPr="00C44C44">
              <w:rPr>
                <w:rStyle w:val="Hyperlink"/>
                <w:rFonts w:eastAsia="Georgia"/>
                <w:noProof/>
              </w:rPr>
              <w:t>3.2 How DERs and VPPs can address Virginia’s evolving energy needs</w:t>
            </w:r>
            <w:r w:rsidRPr="00C44C44">
              <w:rPr>
                <w:noProof/>
                <w:webHidden/>
              </w:rPr>
              <w:tab/>
            </w:r>
            <w:r w:rsidRPr="00C44C44">
              <w:rPr>
                <w:noProof/>
                <w:webHidden/>
              </w:rPr>
              <w:fldChar w:fldCharType="begin"/>
            </w:r>
            <w:r w:rsidRPr="00C44C44">
              <w:rPr>
                <w:noProof/>
                <w:webHidden/>
              </w:rPr>
              <w:instrText xml:space="preserve"> PAGEREF _Toc239862890 \h </w:instrText>
            </w:r>
            <w:r w:rsidRPr="00C44C44">
              <w:rPr>
                <w:noProof/>
                <w:webHidden/>
              </w:rPr>
            </w:r>
            <w:r w:rsidRPr="00C44C44">
              <w:rPr>
                <w:noProof/>
                <w:webHidden/>
              </w:rPr>
              <w:fldChar w:fldCharType="separate"/>
            </w:r>
            <w:r w:rsidRPr="00C44C44">
              <w:rPr>
                <w:noProof/>
                <w:webHidden/>
              </w:rPr>
              <w:t>15</w:t>
            </w:r>
            <w:r w:rsidRPr="00C44C44">
              <w:rPr>
                <w:noProof/>
                <w:webHidden/>
              </w:rPr>
              <w:fldChar w:fldCharType="end"/>
            </w:r>
          </w:hyperlink>
        </w:p>
        <w:p w14:paraId="69D14809" w14:textId="36C4322B"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891" w:history="1">
            <w:r w:rsidRPr="00C44C44">
              <w:rPr>
                <w:rStyle w:val="Hyperlink"/>
                <w:rFonts w:eastAsia="Georgia"/>
                <w:noProof/>
              </w:rPr>
              <w:t>3.3 The Task Force’s Vision for DERs in Virginia</w:t>
            </w:r>
            <w:r w:rsidRPr="00C44C44">
              <w:rPr>
                <w:noProof/>
                <w:webHidden/>
              </w:rPr>
              <w:tab/>
            </w:r>
            <w:r w:rsidRPr="00C44C44">
              <w:rPr>
                <w:noProof/>
                <w:webHidden/>
              </w:rPr>
              <w:fldChar w:fldCharType="begin"/>
            </w:r>
            <w:r w:rsidRPr="00C44C44">
              <w:rPr>
                <w:noProof/>
                <w:webHidden/>
              </w:rPr>
              <w:instrText xml:space="preserve"> PAGEREF _Toc239862891 \h </w:instrText>
            </w:r>
            <w:r w:rsidRPr="00C44C44">
              <w:rPr>
                <w:noProof/>
                <w:webHidden/>
              </w:rPr>
            </w:r>
            <w:r w:rsidRPr="00C44C44">
              <w:rPr>
                <w:noProof/>
                <w:webHidden/>
              </w:rPr>
              <w:fldChar w:fldCharType="separate"/>
            </w:r>
            <w:r w:rsidRPr="00C44C44">
              <w:rPr>
                <w:noProof/>
                <w:webHidden/>
              </w:rPr>
              <w:t>16</w:t>
            </w:r>
            <w:r w:rsidRPr="00C44C44">
              <w:rPr>
                <w:noProof/>
                <w:webHidden/>
              </w:rPr>
              <w:fldChar w:fldCharType="end"/>
            </w:r>
          </w:hyperlink>
        </w:p>
        <w:p w14:paraId="1CC560BB" w14:textId="71BCE9A1"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892" w:history="1">
            <w:r w:rsidRPr="00C44C44">
              <w:rPr>
                <w:rStyle w:val="Hyperlink"/>
                <w:noProof/>
              </w:rPr>
              <w:t>Near-Term and Long-Term Trajectory</w:t>
            </w:r>
            <w:r w:rsidRPr="00C44C44">
              <w:rPr>
                <w:noProof/>
                <w:webHidden/>
              </w:rPr>
              <w:tab/>
            </w:r>
            <w:r w:rsidRPr="00C44C44">
              <w:rPr>
                <w:noProof/>
                <w:webHidden/>
              </w:rPr>
              <w:fldChar w:fldCharType="begin"/>
            </w:r>
            <w:r w:rsidRPr="00C44C44">
              <w:rPr>
                <w:noProof/>
                <w:webHidden/>
              </w:rPr>
              <w:instrText xml:space="preserve"> PAGEREF _Toc239862892 \h </w:instrText>
            </w:r>
            <w:r w:rsidRPr="00C44C44">
              <w:rPr>
                <w:noProof/>
                <w:webHidden/>
              </w:rPr>
            </w:r>
            <w:r w:rsidRPr="00C44C44">
              <w:rPr>
                <w:noProof/>
                <w:webHidden/>
              </w:rPr>
              <w:fldChar w:fldCharType="separate"/>
            </w:r>
            <w:r w:rsidRPr="00C44C44">
              <w:rPr>
                <w:noProof/>
                <w:webHidden/>
              </w:rPr>
              <w:t>17</w:t>
            </w:r>
            <w:r w:rsidRPr="00C44C44">
              <w:rPr>
                <w:noProof/>
                <w:webHidden/>
              </w:rPr>
              <w:fldChar w:fldCharType="end"/>
            </w:r>
          </w:hyperlink>
        </w:p>
        <w:p w14:paraId="5B1CA925" w14:textId="12A59820" w:rsidR="002205A8" w:rsidRPr="00C44C44" w:rsidRDefault="002205A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9862893" w:history="1">
            <w:r w:rsidRPr="00C44C44">
              <w:rPr>
                <w:rStyle w:val="Hyperlink"/>
                <w:rFonts w:eastAsia="Georgia"/>
                <w:noProof/>
              </w:rPr>
              <w:t>4. Current State of DERs in Virginia</w:t>
            </w:r>
            <w:r w:rsidRPr="00C44C44">
              <w:rPr>
                <w:noProof/>
                <w:webHidden/>
              </w:rPr>
              <w:tab/>
            </w:r>
            <w:r w:rsidRPr="00C44C44">
              <w:rPr>
                <w:noProof/>
                <w:webHidden/>
              </w:rPr>
              <w:fldChar w:fldCharType="begin"/>
            </w:r>
            <w:r w:rsidRPr="00C44C44">
              <w:rPr>
                <w:noProof/>
                <w:webHidden/>
              </w:rPr>
              <w:instrText xml:space="preserve"> PAGEREF _Toc239862893 \h </w:instrText>
            </w:r>
            <w:r w:rsidRPr="00C44C44">
              <w:rPr>
                <w:noProof/>
                <w:webHidden/>
              </w:rPr>
            </w:r>
            <w:r w:rsidRPr="00C44C44">
              <w:rPr>
                <w:noProof/>
                <w:webHidden/>
              </w:rPr>
              <w:fldChar w:fldCharType="separate"/>
            </w:r>
            <w:r w:rsidRPr="00C44C44">
              <w:rPr>
                <w:noProof/>
                <w:webHidden/>
              </w:rPr>
              <w:t>19</w:t>
            </w:r>
            <w:r w:rsidRPr="00C44C44">
              <w:rPr>
                <w:noProof/>
                <w:webHidden/>
              </w:rPr>
              <w:fldChar w:fldCharType="end"/>
            </w:r>
          </w:hyperlink>
        </w:p>
        <w:p w14:paraId="7591C7A8" w14:textId="5814A003"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894" w:history="1">
            <w:r w:rsidRPr="00C44C44">
              <w:rPr>
                <w:rStyle w:val="Hyperlink"/>
                <w:rFonts w:eastAsia="Georgia"/>
                <w:noProof/>
              </w:rPr>
              <w:t>4.1 Legislative and Regulatory Foundations</w:t>
            </w:r>
            <w:r w:rsidRPr="00C44C44">
              <w:rPr>
                <w:noProof/>
                <w:webHidden/>
              </w:rPr>
              <w:tab/>
            </w:r>
            <w:r w:rsidRPr="00C44C44">
              <w:rPr>
                <w:noProof/>
                <w:webHidden/>
              </w:rPr>
              <w:fldChar w:fldCharType="begin"/>
            </w:r>
            <w:r w:rsidRPr="00C44C44">
              <w:rPr>
                <w:noProof/>
                <w:webHidden/>
              </w:rPr>
              <w:instrText xml:space="preserve"> PAGEREF _Toc239862894 \h </w:instrText>
            </w:r>
            <w:r w:rsidRPr="00C44C44">
              <w:rPr>
                <w:noProof/>
                <w:webHidden/>
              </w:rPr>
            </w:r>
            <w:r w:rsidRPr="00C44C44">
              <w:rPr>
                <w:noProof/>
                <w:webHidden/>
              </w:rPr>
              <w:fldChar w:fldCharType="separate"/>
            </w:r>
            <w:r w:rsidRPr="00C44C44">
              <w:rPr>
                <w:noProof/>
                <w:webHidden/>
              </w:rPr>
              <w:t>19</w:t>
            </w:r>
            <w:r w:rsidRPr="00C44C44">
              <w:rPr>
                <w:noProof/>
                <w:webHidden/>
              </w:rPr>
              <w:fldChar w:fldCharType="end"/>
            </w:r>
          </w:hyperlink>
        </w:p>
        <w:p w14:paraId="74A5625A" w14:textId="2A59BB3D"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895" w:history="1">
            <w:r w:rsidRPr="00C44C44">
              <w:rPr>
                <w:rStyle w:val="Hyperlink"/>
                <w:rFonts w:eastAsia="Georgia"/>
                <w:noProof/>
              </w:rPr>
              <w:t>4.2 Virginia’s DER Deployment Current State</w:t>
            </w:r>
            <w:r w:rsidRPr="00C44C44">
              <w:rPr>
                <w:noProof/>
                <w:webHidden/>
              </w:rPr>
              <w:tab/>
            </w:r>
            <w:r w:rsidRPr="00C44C44">
              <w:rPr>
                <w:noProof/>
                <w:webHidden/>
              </w:rPr>
              <w:fldChar w:fldCharType="begin"/>
            </w:r>
            <w:r w:rsidRPr="00C44C44">
              <w:rPr>
                <w:noProof/>
                <w:webHidden/>
              </w:rPr>
              <w:instrText xml:space="preserve"> PAGEREF _Toc239862895 \h </w:instrText>
            </w:r>
            <w:r w:rsidRPr="00C44C44">
              <w:rPr>
                <w:noProof/>
                <w:webHidden/>
              </w:rPr>
            </w:r>
            <w:r w:rsidRPr="00C44C44">
              <w:rPr>
                <w:noProof/>
                <w:webHidden/>
              </w:rPr>
              <w:fldChar w:fldCharType="separate"/>
            </w:r>
            <w:r w:rsidRPr="00C44C44">
              <w:rPr>
                <w:noProof/>
                <w:webHidden/>
              </w:rPr>
              <w:t>20</w:t>
            </w:r>
            <w:r w:rsidRPr="00C44C44">
              <w:rPr>
                <w:noProof/>
                <w:webHidden/>
              </w:rPr>
              <w:fldChar w:fldCharType="end"/>
            </w:r>
          </w:hyperlink>
        </w:p>
        <w:p w14:paraId="07BB0D50" w14:textId="37C2C762"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896" w:history="1">
            <w:r w:rsidRPr="00C44C44">
              <w:rPr>
                <w:rStyle w:val="Hyperlink"/>
                <w:i/>
                <w:noProof/>
              </w:rPr>
              <w:t>Virginia’s Historical DER Deployment</w:t>
            </w:r>
            <w:r w:rsidRPr="00C44C44">
              <w:rPr>
                <w:noProof/>
                <w:webHidden/>
              </w:rPr>
              <w:tab/>
            </w:r>
            <w:r w:rsidRPr="00C44C44">
              <w:rPr>
                <w:noProof/>
                <w:webHidden/>
              </w:rPr>
              <w:fldChar w:fldCharType="begin"/>
            </w:r>
            <w:r w:rsidRPr="00C44C44">
              <w:rPr>
                <w:noProof/>
                <w:webHidden/>
              </w:rPr>
              <w:instrText xml:space="preserve"> PAGEREF _Toc239862896 \h </w:instrText>
            </w:r>
            <w:r w:rsidRPr="00C44C44">
              <w:rPr>
                <w:noProof/>
                <w:webHidden/>
              </w:rPr>
            </w:r>
            <w:r w:rsidRPr="00C44C44">
              <w:rPr>
                <w:noProof/>
                <w:webHidden/>
              </w:rPr>
              <w:fldChar w:fldCharType="separate"/>
            </w:r>
            <w:r w:rsidRPr="00C44C44">
              <w:rPr>
                <w:noProof/>
                <w:webHidden/>
              </w:rPr>
              <w:t>21</w:t>
            </w:r>
            <w:r w:rsidRPr="00C44C44">
              <w:rPr>
                <w:noProof/>
                <w:webHidden/>
              </w:rPr>
              <w:fldChar w:fldCharType="end"/>
            </w:r>
          </w:hyperlink>
        </w:p>
        <w:p w14:paraId="2DFA57DB" w14:textId="175C4F97"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897" w:history="1">
            <w:r w:rsidRPr="00C44C44">
              <w:rPr>
                <w:rStyle w:val="Hyperlink"/>
                <w:i/>
                <w:noProof/>
              </w:rPr>
              <w:t>How Virginia Stacks Up Against Peers</w:t>
            </w:r>
            <w:r w:rsidRPr="00C44C44">
              <w:rPr>
                <w:noProof/>
                <w:webHidden/>
              </w:rPr>
              <w:tab/>
            </w:r>
            <w:r w:rsidRPr="00C44C44">
              <w:rPr>
                <w:noProof/>
                <w:webHidden/>
              </w:rPr>
              <w:fldChar w:fldCharType="begin"/>
            </w:r>
            <w:r w:rsidRPr="00C44C44">
              <w:rPr>
                <w:noProof/>
                <w:webHidden/>
              </w:rPr>
              <w:instrText xml:space="preserve"> PAGEREF _Toc239862897 \h </w:instrText>
            </w:r>
            <w:r w:rsidRPr="00C44C44">
              <w:rPr>
                <w:noProof/>
                <w:webHidden/>
              </w:rPr>
            </w:r>
            <w:r w:rsidRPr="00C44C44">
              <w:rPr>
                <w:noProof/>
                <w:webHidden/>
              </w:rPr>
              <w:fldChar w:fldCharType="separate"/>
            </w:r>
            <w:r w:rsidRPr="00C44C44">
              <w:rPr>
                <w:noProof/>
                <w:webHidden/>
              </w:rPr>
              <w:t>22</w:t>
            </w:r>
            <w:r w:rsidRPr="00C44C44">
              <w:rPr>
                <w:noProof/>
                <w:webHidden/>
              </w:rPr>
              <w:fldChar w:fldCharType="end"/>
            </w:r>
          </w:hyperlink>
        </w:p>
        <w:p w14:paraId="78094353" w14:textId="244558C7"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898" w:history="1">
            <w:r w:rsidRPr="00C44C44">
              <w:rPr>
                <w:rStyle w:val="Hyperlink"/>
                <w:rFonts w:eastAsia="Georgia"/>
                <w:noProof/>
              </w:rPr>
              <w:t>4.4 Conclusion</w:t>
            </w:r>
            <w:r w:rsidRPr="00C44C44">
              <w:rPr>
                <w:noProof/>
                <w:webHidden/>
              </w:rPr>
              <w:tab/>
            </w:r>
            <w:r w:rsidRPr="00C44C44">
              <w:rPr>
                <w:noProof/>
                <w:webHidden/>
              </w:rPr>
              <w:fldChar w:fldCharType="begin"/>
            </w:r>
            <w:r w:rsidRPr="00C44C44">
              <w:rPr>
                <w:noProof/>
                <w:webHidden/>
              </w:rPr>
              <w:instrText xml:space="preserve"> PAGEREF _Toc239862898 \h </w:instrText>
            </w:r>
            <w:r w:rsidRPr="00C44C44">
              <w:rPr>
                <w:noProof/>
                <w:webHidden/>
              </w:rPr>
            </w:r>
            <w:r w:rsidRPr="00C44C44">
              <w:rPr>
                <w:noProof/>
                <w:webHidden/>
              </w:rPr>
              <w:fldChar w:fldCharType="separate"/>
            </w:r>
            <w:r w:rsidRPr="00C44C44">
              <w:rPr>
                <w:noProof/>
                <w:webHidden/>
              </w:rPr>
              <w:t>22</w:t>
            </w:r>
            <w:r w:rsidRPr="00C44C44">
              <w:rPr>
                <w:noProof/>
                <w:webHidden/>
              </w:rPr>
              <w:fldChar w:fldCharType="end"/>
            </w:r>
          </w:hyperlink>
        </w:p>
        <w:p w14:paraId="1668AE08" w14:textId="1FBEA97B" w:rsidR="002205A8" w:rsidRPr="00C44C44" w:rsidRDefault="002205A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9862899" w:history="1">
            <w:r w:rsidRPr="00C44C44">
              <w:rPr>
                <w:rStyle w:val="Hyperlink"/>
                <w:rFonts w:eastAsia="Georgia"/>
                <w:noProof/>
              </w:rPr>
              <w:t>5. Task Force Findings, Recommendations, and Path Forward</w:t>
            </w:r>
            <w:r w:rsidRPr="00C44C44">
              <w:rPr>
                <w:noProof/>
                <w:webHidden/>
              </w:rPr>
              <w:tab/>
            </w:r>
            <w:r w:rsidRPr="00C44C44">
              <w:rPr>
                <w:noProof/>
                <w:webHidden/>
              </w:rPr>
              <w:fldChar w:fldCharType="begin"/>
            </w:r>
            <w:r w:rsidRPr="00C44C44">
              <w:rPr>
                <w:noProof/>
                <w:webHidden/>
              </w:rPr>
              <w:instrText xml:space="preserve"> PAGEREF _Toc239862899 \h </w:instrText>
            </w:r>
            <w:r w:rsidRPr="00C44C44">
              <w:rPr>
                <w:noProof/>
                <w:webHidden/>
              </w:rPr>
            </w:r>
            <w:r w:rsidRPr="00C44C44">
              <w:rPr>
                <w:noProof/>
                <w:webHidden/>
              </w:rPr>
              <w:fldChar w:fldCharType="separate"/>
            </w:r>
            <w:r w:rsidRPr="00C44C44">
              <w:rPr>
                <w:noProof/>
                <w:webHidden/>
              </w:rPr>
              <w:t>23</w:t>
            </w:r>
            <w:r w:rsidRPr="00C44C44">
              <w:rPr>
                <w:noProof/>
                <w:webHidden/>
              </w:rPr>
              <w:fldChar w:fldCharType="end"/>
            </w:r>
          </w:hyperlink>
        </w:p>
        <w:p w14:paraId="48E92B84" w14:textId="5B5EBC22"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900" w:history="1">
            <w:r w:rsidRPr="00C44C44">
              <w:rPr>
                <w:rStyle w:val="Hyperlink"/>
                <w:rFonts w:eastAsia="Georgia"/>
                <w:noProof/>
              </w:rPr>
              <w:t>5.1 Key Findings &amp; Recommendations</w:t>
            </w:r>
            <w:r w:rsidRPr="00C44C44">
              <w:rPr>
                <w:noProof/>
                <w:webHidden/>
              </w:rPr>
              <w:tab/>
            </w:r>
            <w:r w:rsidRPr="00C44C44">
              <w:rPr>
                <w:noProof/>
                <w:webHidden/>
              </w:rPr>
              <w:fldChar w:fldCharType="begin"/>
            </w:r>
            <w:r w:rsidRPr="00C44C44">
              <w:rPr>
                <w:noProof/>
                <w:webHidden/>
              </w:rPr>
              <w:instrText xml:space="preserve"> PAGEREF _Toc239862900 \h </w:instrText>
            </w:r>
            <w:r w:rsidRPr="00C44C44">
              <w:rPr>
                <w:noProof/>
                <w:webHidden/>
              </w:rPr>
            </w:r>
            <w:r w:rsidRPr="00C44C44">
              <w:rPr>
                <w:noProof/>
                <w:webHidden/>
              </w:rPr>
              <w:fldChar w:fldCharType="separate"/>
            </w:r>
            <w:r w:rsidRPr="00C44C44">
              <w:rPr>
                <w:noProof/>
                <w:webHidden/>
              </w:rPr>
              <w:t>24</w:t>
            </w:r>
            <w:r w:rsidRPr="00C44C44">
              <w:rPr>
                <w:noProof/>
                <w:webHidden/>
              </w:rPr>
              <w:fldChar w:fldCharType="end"/>
            </w:r>
          </w:hyperlink>
        </w:p>
        <w:p w14:paraId="34375327" w14:textId="0F700FEC"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901" w:history="1">
            <w:r w:rsidRPr="00C44C44">
              <w:rPr>
                <w:rStyle w:val="Hyperlink"/>
                <w:noProof/>
              </w:rPr>
              <w:t>Cross-Cutting</w:t>
            </w:r>
            <w:r w:rsidRPr="00C44C44">
              <w:rPr>
                <w:noProof/>
                <w:webHidden/>
              </w:rPr>
              <w:tab/>
            </w:r>
            <w:r w:rsidRPr="00C44C44">
              <w:rPr>
                <w:noProof/>
                <w:webHidden/>
              </w:rPr>
              <w:fldChar w:fldCharType="begin"/>
            </w:r>
            <w:r w:rsidRPr="00C44C44">
              <w:rPr>
                <w:noProof/>
                <w:webHidden/>
              </w:rPr>
              <w:instrText xml:space="preserve"> PAGEREF _Toc239862901 \h </w:instrText>
            </w:r>
            <w:r w:rsidRPr="00C44C44">
              <w:rPr>
                <w:noProof/>
                <w:webHidden/>
              </w:rPr>
            </w:r>
            <w:r w:rsidRPr="00C44C44">
              <w:rPr>
                <w:noProof/>
                <w:webHidden/>
              </w:rPr>
              <w:fldChar w:fldCharType="separate"/>
            </w:r>
            <w:r w:rsidRPr="00C44C44">
              <w:rPr>
                <w:noProof/>
                <w:webHidden/>
              </w:rPr>
              <w:t>24</w:t>
            </w:r>
            <w:r w:rsidRPr="00C44C44">
              <w:rPr>
                <w:noProof/>
                <w:webHidden/>
              </w:rPr>
              <w:fldChar w:fldCharType="end"/>
            </w:r>
          </w:hyperlink>
        </w:p>
        <w:p w14:paraId="497DBDBC" w14:textId="27D82C09"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02" w:history="1">
            <w:r w:rsidRPr="00C44C44">
              <w:rPr>
                <w:rStyle w:val="Hyperlink"/>
                <w:noProof/>
              </w:rPr>
              <w:t>Recommendation 1: Pursue an Integrated, Systems-based DER Strategy with Necessary State Implementation Capacity</w:t>
            </w:r>
            <w:r w:rsidRPr="00C44C44">
              <w:rPr>
                <w:noProof/>
                <w:webHidden/>
              </w:rPr>
              <w:tab/>
            </w:r>
            <w:r w:rsidRPr="00C44C44">
              <w:rPr>
                <w:noProof/>
                <w:webHidden/>
              </w:rPr>
              <w:fldChar w:fldCharType="begin"/>
            </w:r>
            <w:r w:rsidRPr="00C44C44">
              <w:rPr>
                <w:noProof/>
                <w:webHidden/>
              </w:rPr>
              <w:instrText xml:space="preserve"> PAGEREF _Toc239862902 \h </w:instrText>
            </w:r>
            <w:r w:rsidRPr="00C44C44">
              <w:rPr>
                <w:noProof/>
                <w:webHidden/>
              </w:rPr>
            </w:r>
            <w:r w:rsidRPr="00C44C44">
              <w:rPr>
                <w:noProof/>
                <w:webHidden/>
              </w:rPr>
              <w:fldChar w:fldCharType="separate"/>
            </w:r>
            <w:r w:rsidRPr="00C44C44">
              <w:rPr>
                <w:noProof/>
                <w:webHidden/>
              </w:rPr>
              <w:t>24</w:t>
            </w:r>
            <w:r w:rsidRPr="00C44C44">
              <w:rPr>
                <w:noProof/>
                <w:webHidden/>
              </w:rPr>
              <w:fldChar w:fldCharType="end"/>
            </w:r>
          </w:hyperlink>
        </w:p>
        <w:p w14:paraId="77E4A278" w14:textId="3B9B498A"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03" w:history="1">
            <w:r w:rsidRPr="00C44C44">
              <w:rPr>
                <w:rStyle w:val="Hyperlink"/>
                <w:noProof/>
              </w:rPr>
              <w:t>Recommendation 2: Leverage Data Centers to Drive DER &amp; VPP Deployment</w:t>
            </w:r>
            <w:r w:rsidRPr="00C44C44">
              <w:rPr>
                <w:noProof/>
                <w:webHidden/>
              </w:rPr>
              <w:tab/>
            </w:r>
            <w:r w:rsidRPr="00C44C44">
              <w:rPr>
                <w:noProof/>
                <w:webHidden/>
              </w:rPr>
              <w:fldChar w:fldCharType="begin"/>
            </w:r>
            <w:r w:rsidRPr="00C44C44">
              <w:rPr>
                <w:noProof/>
                <w:webHidden/>
              </w:rPr>
              <w:instrText xml:space="preserve"> PAGEREF _Toc239862903 \h </w:instrText>
            </w:r>
            <w:r w:rsidRPr="00C44C44">
              <w:rPr>
                <w:noProof/>
                <w:webHidden/>
              </w:rPr>
            </w:r>
            <w:r w:rsidRPr="00C44C44">
              <w:rPr>
                <w:noProof/>
                <w:webHidden/>
              </w:rPr>
              <w:fldChar w:fldCharType="separate"/>
            </w:r>
            <w:r w:rsidRPr="00C44C44">
              <w:rPr>
                <w:noProof/>
                <w:webHidden/>
              </w:rPr>
              <w:t>25</w:t>
            </w:r>
            <w:r w:rsidRPr="00C44C44">
              <w:rPr>
                <w:noProof/>
                <w:webHidden/>
              </w:rPr>
              <w:fldChar w:fldCharType="end"/>
            </w:r>
          </w:hyperlink>
        </w:p>
        <w:p w14:paraId="1939D93F" w14:textId="59CB37A9"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904" w:history="1">
            <w:r w:rsidRPr="00C44C44">
              <w:rPr>
                <w:rStyle w:val="Hyperlink"/>
                <w:noProof/>
              </w:rPr>
              <w:t>DER Market Participation (VPP Aggregation)</w:t>
            </w:r>
            <w:r w:rsidRPr="00C44C44">
              <w:rPr>
                <w:noProof/>
                <w:webHidden/>
              </w:rPr>
              <w:tab/>
            </w:r>
            <w:r w:rsidRPr="00C44C44">
              <w:rPr>
                <w:noProof/>
                <w:webHidden/>
              </w:rPr>
              <w:fldChar w:fldCharType="begin"/>
            </w:r>
            <w:r w:rsidRPr="00C44C44">
              <w:rPr>
                <w:noProof/>
                <w:webHidden/>
              </w:rPr>
              <w:instrText xml:space="preserve"> PAGEREF _Toc239862904 \h </w:instrText>
            </w:r>
            <w:r w:rsidRPr="00C44C44">
              <w:rPr>
                <w:noProof/>
                <w:webHidden/>
              </w:rPr>
            </w:r>
            <w:r w:rsidRPr="00C44C44">
              <w:rPr>
                <w:noProof/>
                <w:webHidden/>
              </w:rPr>
              <w:fldChar w:fldCharType="separate"/>
            </w:r>
            <w:r w:rsidRPr="00C44C44">
              <w:rPr>
                <w:noProof/>
                <w:webHidden/>
              </w:rPr>
              <w:t>26</w:t>
            </w:r>
            <w:r w:rsidRPr="00C44C44">
              <w:rPr>
                <w:noProof/>
                <w:webHidden/>
              </w:rPr>
              <w:fldChar w:fldCharType="end"/>
            </w:r>
          </w:hyperlink>
        </w:p>
        <w:p w14:paraId="5B4FFEE8" w14:textId="3757AE9A"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05" w:history="1">
            <w:r w:rsidRPr="00C44C44">
              <w:rPr>
                <w:rStyle w:val="Hyperlink"/>
                <w:noProof/>
              </w:rPr>
              <w:t>Recommendation 3: Establish VPP-Enabling Policies</w:t>
            </w:r>
            <w:r w:rsidRPr="00C44C44">
              <w:rPr>
                <w:noProof/>
                <w:webHidden/>
              </w:rPr>
              <w:tab/>
            </w:r>
            <w:r w:rsidRPr="00C44C44">
              <w:rPr>
                <w:noProof/>
                <w:webHidden/>
              </w:rPr>
              <w:fldChar w:fldCharType="begin"/>
            </w:r>
            <w:r w:rsidRPr="00C44C44">
              <w:rPr>
                <w:noProof/>
                <w:webHidden/>
              </w:rPr>
              <w:instrText xml:space="preserve"> PAGEREF _Toc239862905 \h </w:instrText>
            </w:r>
            <w:r w:rsidRPr="00C44C44">
              <w:rPr>
                <w:noProof/>
                <w:webHidden/>
              </w:rPr>
            </w:r>
            <w:r w:rsidRPr="00C44C44">
              <w:rPr>
                <w:noProof/>
                <w:webHidden/>
              </w:rPr>
              <w:fldChar w:fldCharType="separate"/>
            </w:r>
            <w:r w:rsidRPr="00C44C44">
              <w:rPr>
                <w:noProof/>
                <w:webHidden/>
              </w:rPr>
              <w:t>26</w:t>
            </w:r>
            <w:r w:rsidRPr="00C44C44">
              <w:rPr>
                <w:noProof/>
                <w:webHidden/>
              </w:rPr>
              <w:fldChar w:fldCharType="end"/>
            </w:r>
          </w:hyperlink>
        </w:p>
        <w:p w14:paraId="26F2ECE4" w14:textId="4DF2E4D8"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06" w:history="1">
            <w:r w:rsidRPr="00C44C44">
              <w:rPr>
                <w:rStyle w:val="Hyperlink"/>
                <w:noProof/>
              </w:rPr>
              <w:t>Recommendation 4: Develop Expanded DER and VPP Compensation Models</w:t>
            </w:r>
            <w:r w:rsidRPr="00C44C44">
              <w:rPr>
                <w:noProof/>
                <w:webHidden/>
              </w:rPr>
              <w:tab/>
            </w:r>
            <w:r w:rsidRPr="00C44C44">
              <w:rPr>
                <w:noProof/>
                <w:webHidden/>
              </w:rPr>
              <w:fldChar w:fldCharType="begin"/>
            </w:r>
            <w:r w:rsidRPr="00C44C44">
              <w:rPr>
                <w:noProof/>
                <w:webHidden/>
              </w:rPr>
              <w:instrText xml:space="preserve"> PAGEREF _Toc239862906 \h </w:instrText>
            </w:r>
            <w:r w:rsidRPr="00C44C44">
              <w:rPr>
                <w:noProof/>
                <w:webHidden/>
              </w:rPr>
            </w:r>
            <w:r w:rsidRPr="00C44C44">
              <w:rPr>
                <w:noProof/>
                <w:webHidden/>
              </w:rPr>
              <w:fldChar w:fldCharType="separate"/>
            </w:r>
            <w:r w:rsidRPr="00C44C44">
              <w:rPr>
                <w:noProof/>
                <w:webHidden/>
              </w:rPr>
              <w:t>27</w:t>
            </w:r>
            <w:r w:rsidRPr="00C44C44">
              <w:rPr>
                <w:noProof/>
                <w:webHidden/>
              </w:rPr>
              <w:fldChar w:fldCharType="end"/>
            </w:r>
          </w:hyperlink>
        </w:p>
        <w:p w14:paraId="50769BCD" w14:textId="5676DAFC"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07" w:history="1">
            <w:r w:rsidRPr="00C44C44">
              <w:rPr>
                <w:rStyle w:val="Hyperlink"/>
                <w:noProof/>
              </w:rPr>
              <w:t>Recommendation 5: Integrate DERs into PJM Wholesale Markets (Including FERC Order 2222)</w:t>
            </w:r>
            <w:r w:rsidRPr="00C44C44">
              <w:rPr>
                <w:noProof/>
                <w:webHidden/>
              </w:rPr>
              <w:tab/>
            </w:r>
            <w:r w:rsidRPr="00C44C44">
              <w:rPr>
                <w:noProof/>
                <w:webHidden/>
              </w:rPr>
              <w:fldChar w:fldCharType="begin"/>
            </w:r>
            <w:r w:rsidRPr="00C44C44">
              <w:rPr>
                <w:noProof/>
                <w:webHidden/>
              </w:rPr>
              <w:instrText xml:space="preserve"> PAGEREF _Toc239862907 \h </w:instrText>
            </w:r>
            <w:r w:rsidRPr="00C44C44">
              <w:rPr>
                <w:noProof/>
                <w:webHidden/>
              </w:rPr>
            </w:r>
            <w:r w:rsidRPr="00C44C44">
              <w:rPr>
                <w:noProof/>
                <w:webHidden/>
              </w:rPr>
              <w:fldChar w:fldCharType="separate"/>
            </w:r>
            <w:r w:rsidRPr="00C44C44">
              <w:rPr>
                <w:noProof/>
                <w:webHidden/>
              </w:rPr>
              <w:t>28</w:t>
            </w:r>
            <w:r w:rsidRPr="00C44C44">
              <w:rPr>
                <w:noProof/>
                <w:webHidden/>
              </w:rPr>
              <w:fldChar w:fldCharType="end"/>
            </w:r>
          </w:hyperlink>
        </w:p>
        <w:p w14:paraId="7143F16B" w14:textId="4B9C31C5"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08" w:history="1">
            <w:r w:rsidRPr="00C44C44">
              <w:rPr>
                <w:rStyle w:val="Hyperlink"/>
                <w:noProof/>
              </w:rPr>
              <w:t>Recommendation 6: Align Utility Incentive Structures</w:t>
            </w:r>
            <w:r w:rsidRPr="00C44C44">
              <w:rPr>
                <w:noProof/>
                <w:webHidden/>
              </w:rPr>
              <w:tab/>
            </w:r>
            <w:r w:rsidRPr="00C44C44">
              <w:rPr>
                <w:noProof/>
                <w:webHidden/>
              </w:rPr>
              <w:fldChar w:fldCharType="begin"/>
            </w:r>
            <w:r w:rsidRPr="00C44C44">
              <w:rPr>
                <w:noProof/>
                <w:webHidden/>
              </w:rPr>
              <w:instrText xml:space="preserve"> PAGEREF _Toc239862908 \h </w:instrText>
            </w:r>
            <w:r w:rsidRPr="00C44C44">
              <w:rPr>
                <w:noProof/>
                <w:webHidden/>
              </w:rPr>
            </w:r>
            <w:r w:rsidRPr="00C44C44">
              <w:rPr>
                <w:noProof/>
                <w:webHidden/>
              </w:rPr>
              <w:fldChar w:fldCharType="separate"/>
            </w:r>
            <w:r w:rsidRPr="00C44C44">
              <w:rPr>
                <w:noProof/>
                <w:webHidden/>
              </w:rPr>
              <w:t>30</w:t>
            </w:r>
            <w:r w:rsidRPr="00C44C44">
              <w:rPr>
                <w:noProof/>
                <w:webHidden/>
              </w:rPr>
              <w:fldChar w:fldCharType="end"/>
            </w:r>
          </w:hyperlink>
        </w:p>
        <w:p w14:paraId="56918FEE" w14:textId="00A9A09D"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09" w:history="1">
            <w:r w:rsidRPr="00C44C44">
              <w:rPr>
                <w:rStyle w:val="Hyperlink"/>
                <w:noProof/>
              </w:rPr>
              <w:t>Recommendation 7: Integrate DERs &amp; VPPs into Utility Planning &amp; Operations</w:t>
            </w:r>
            <w:r w:rsidRPr="00C44C44">
              <w:rPr>
                <w:noProof/>
                <w:webHidden/>
              </w:rPr>
              <w:tab/>
            </w:r>
            <w:r w:rsidRPr="00C44C44">
              <w:rPr>
                <w:noProof/>
                <w:webHidden/>
              </w:rPr>
              <w:fldChar w:fldCharType="begin"/>
            </w:r>
            <w:r w:rsidRPr="00C44C44">
              <w:rPr>
                <w:noProof/>
                <w:webHidden/>
              </w:rPr>
              <w:instrText xml:space="preserve"> PAGEREF _Toc239862909 \h </w:instrText>
            </w:r>
            <w:r w:rsidRPr="00C44C44">
              <w:rPr>
                <w:noProof/>
                <w:webHidden/>
              </w:rPr>
            </w:r>
            <w:r w:rsidRPr="00C44C44">
              <w:rPr>
                <w:noProof/>
                <w:webHidden/>
              </w:rPr>
              <w:fldChar w:fldCharType="separate"/>
            </w:r>
            <w:r w:rsidRPr="00C44C44">
              <w:rPr>
                <w:noProof/>
                <w:webHidden/>
              </w:rPr>
              <w:t>30</w:t>
            </w:r>
            <w:r w:rsidRPr="00C44C44">
              <w:rPr>
                <w:noProof/>
                <w:webHidden/>
              </w:rPr>
              <w:fldChar w:fldCharType="end"/>
            </w:r>
          </w:hyperlink>
        </w:p>
        <w:p w14:paraId="294B7341" w14:textId="760C3E17"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910" w:history="1">
            <w:r w:rsidRPr="00C44C44">
              <w:rPr>
                <w:rStyle w:val="Hyperlink"/>
                <w:noProof/>
              </w:rPr>
              <w:t>DER Adoption</w:t>
            </w:r>
            <w:r w:rsidRPr="00C44C44">
              <w:rPr>
                <w:noProof/>
                <w:webHidden/>
              </w:rPr>
              <w:tab/>
            </w:r>
            <w:r w:rsidRPr="00C44C44">
              <w:rPr>
                <w:noProof/>
                <w:webHidden/>
              </w:rPr>
              <w:fldChar w:fldCharType="begin"/>
            </w:r>
            <w:r w:rsidRPr="00C44C44">
              <w:rPr>
                <w:noProof/>
                <w:webHidden/>
              </w:rPr>
              <w:instrText xml:space="preserve"> PAGEREF _Toc239862910 \h </w:instrText>
            </w:r>
            <w:r w:rsidRPr="00C44C44">
              <w:rPr>
                <w:noProof/>
                <w:webHidden/>
              </w:rPr>
            </w:r>
            <w:r w:rsidRPr="00C44C44">
              <w:rPr>
                <w:noProof/>
                <w:webHidden/>
              </w:rPr>
              <w:fldChar w:fldCharType="separate"/>
            </w:r>
            <w:r w:rsidRPr="00C44C44">
              <w:rPr>
                <w:noProof/>
                <w:webHidden/>
              </w:rPr>
              <w:t>31</w:t>
            </w:r>
            <w:r w:rsidRPr="00C44C44">
              <w:rPr>
                <w:noProof/>
                <w:webHidden/>
              </w:rPr>
              <w:fldChar w:fldCharType="end"/>
            </w:r>
          </w:hyperlink>
        </w:p>
        <w:p w14:paraId="4E915DA1" w14:textId="5BEA3F7B"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11" w:history="1">
            <w:r w:rsidRPr="00C44C44">
              <w:rPr>
                <w:rStyle w:val="Hyperlink"/>
                <w:noProof/>
              </w:rPr>
              <w:t>Recommendation 8: Support Schools &amp; Public Facility DER Adoption</w:t>
            </w:r>
            <w:r w:rsidRPr="00C44C44">
              <w:rPr>
                <w:noProof/>
                <w:webHidden/>
              </w:rPr>
              <w:tab/>
            </w:r>
            <w:r w:rsidRPr="00C44C44">
              <w:rPr>
                <w:noProof/>
                <w:webHidden/>
              </w:rPr>
              <w:fldChar w:fldCharType="begin"/>
            </w:r>
            <w:r w:rsidRPr="00C44C44">
              <w:rPr>
                <w:noProof/>
                <w:webHidden/>
              </w:rPr>
              <w:instrText xml:space="preserve"> PAGEREF _Toc239862911 \h </w:instrText>
            </w:r>
            <w:r w:rsidRPr="00C44C44">
              <w:rPr>
                <w:noProof/>
                <w:webHidden/>
              </w:rPr>
            </w:r>
            <w:r w:rsidRPr="00C44C44">
              <w:rPr>
                <w:noProof/>
                <w:webHidden/>
              </w:rPr>
              <w:fldChar w:fldCharType="separate"/>
            </w:r>
            <w:r w:rsidRPr="00C44C44">
              <w:rPr>
                <w:noProof/>
                <w:webHidden/>
              </w:rPr>
              <w:t>32</w:t>
            </w:r>
            <w:r w:rsidRPr="00C44C44">
              <w:rPr>
                <w:noProof/>
                <w:webHidden/>
              </w:rPr>
              <w:fldChar w:fldCharType="end"/>
            </w:r>
          </w:hyperlink>
        </w:p>
        <w:p w14:paraId="39C1BB3C" w14:textId="39908357"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12" w:history="1">
            <w:r w:rsidRPr="00C44C44">
              <w:rPr>
                <w:rStyle w:val="Hyperlink"/>
                <w:noProof/>
              </w:rPr>
              <w:t>Recommendation 9: Modernize DER Interconnection Policies</w:t>
            </w:r>
            <w:r w:rsidRPr="00C44C44">
              <w:rPr>
                <w:noProof/>
                <w:webHidden/>
              </w:rPr>
              <w:tab/>
            </w:r>
            <w:r w:rsidRPr="00C44C44">
              <w:rPr>
                <w:noProof/>
                <w:webHidden/>
              </w:rPr>
              <w:fldChar w:fldCharType="begin"/>
            </w:r>
            <w:r w:rsidRPr="00C44C44">
              <w:rPr>
                <w:noProof/>
                <w:webHidden/>
              </w:rPr>
              <w:instrText xml:space="preserve"> PAGEREF _Toc239862912 \h </w:instrText>
            </w:r>
            <w:r w:rsidRPr="00C44C44">
              <w:rPr>
                <w:noProof/>
                <w:webHidden/>
              </w:rPr>
            </w:r>
            <w:r w:rsidRPr="00C44C44">
              <w:rPr>
                <w:noProof/>
                <w:webHidden/>
              </w:rPr>
              <w:fldChar w:fldCharType="separate"/>
            </w:r>
            <w:r w:rsidRPr="00C44C44">
              <w:rPr>
                <w:noProof/>
                <w:webHidden/>
              </w:rPr>
              <w:t>32</w:t>
            </w:r>
            <w:r w:rsidRPr="00C44C44">
              <w:rPr>
                <w:noProof/>
                <w:webHidden/>
              </w:rPr>
              <w:fldChar w:fldCharType="end"/>
            </w:r>
          </w:hyperlink>
        </w:p>
        <w:p w14:paraId="5838CD27" w14:textId="69E12A8B"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13" w:history="1">
            <w:r w:rsidRPr="00C44C44">
              <w:rPr>
                <w:rStyle w:val="Hyperlink"/>
                <w:noProof/>
              </w:rPr>
              <w:t>Recommendation 10: Explore Flexible Load Interconnection Opportunities</w:t>
            </w:r>
            <w:r w:rsidRPr="00C44C44">
              <w:rPr>
                <w:noProof/>
                <w:webHidden/>
              </w:rPr>
              <w:tab/>
            </w:r>
            <w:r w:rsidRPr="00C44C44">
              <w:rPr>
                <w:noProof/>
                <w:webHidden/>
              </w:rPr>
              <w:fldChar w:fldCharType="begin"/>
            </w:r>
            <w:r w:rsidRPr="00C44C44">
              <w:rPr>
                <w:noProof/>
                <w:webHidden/>
              </w:rPr>
              <w:instrText xml:space="preserve"> PAGEREF _Toc239862913 \h </w:instrText>
            </w:r>
            <w:r w:rsidRPr="00C44C44">
              <w:rPr>
                <w:noProof/>
                <w:webHidden/>
              </w:rPr>
            </w:r>
            <w:r w:rsidRPr="00C44C44">
              <w:rPr>
                <w:noProof/>
                <w:webHidden/>
              </w:rPr>
              <w:fldChar w:fldCharType="separate"/>
            </w:r>
            <w:r w:rsidRPr="00C44C44">
              <w:rPr>
                <w:noProof/>
                <w:webHidden/>
              </w:rPr>
              <w:t>33</w:t>
            </w:r>
            <w:r w:rsidRPr="00C44C44">
              <w:rPr>
                <w:noProof/>
                <w:webHidden/>
              </w:rPr>
              <w:fldChar w:fldCharType="end"/>
            </w:r>
          </w:hyperlink>
        </w:p>
        <w:p w14:paraId="162341A3" w14:textId="2CCA4453"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14" w:history="1">
            <w:r w:rsidRPr="00C44C44">
              <w:rPr>
                <w:rStyle w:val="Hyperlink"/>
                <w:noProof/>
              </w:rPr>
              <w:t>Recommendation 11: Continue Enhancing DER Permitting</w:t>
            </w:r>
            <w:r w:rsidRPr="00C44C44">
              <w:rPr>
                <w:noProof/>
                <w:webHidden/>
              </w:rPr>
              <w:tab/>
            </w:r>
            <w:r w:rsidRPr="00C44C44">
              <w:rPr>
                <w:noProof/>
                <w:webHidden/>
              </w:rPr>
              <w:fldChar w:fldCharType="begin"/>
            </w:r>
            <w:r w:rsidRPr="00C44C44">
              <w:rPr>
                <w:noProof/>
                <w:webHidden/>
              </w:rPr>
              <w:instrText xml:space="preserve"> PAGEREF _Toc239862914 \h </w:instrText>
            </w:r>
            <w:r w:rsidRPr="00C44C44">
              <w:rPr>
                <w:noProof/>
                <w:webHidden/>
              </w:rPr>
            </w:r>
            <w:r w:rsidRPr="00C44C44">
              <w:rPr>
                <w:noProof/>
                <w:webHidden/>
              </w:rPr>
              <w:fldChar w:fldCharType="separate"/>
            </w:r>
            <w:r w:rsidRPr="00C44C44">
              <w:rPr>
                <w:noProof/>
                <w:webHidden/>
              </w:rPr>
              <w:t>34</w:t>
            </w:r>
            <w:r w:rsidRPr="00C44C44">
              <w:rPr>
                <w:noProof/>
                <w:webHidden/>
              </w:rPr>
              <w:fldChar w:fldCharType="end"/>
            </w:r>
          </w:hyperlink>
        </w:p>
        <w:p w14:paraId="6199D657" w14:textId="6EC8D01E"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15" w:history="1">
            <w:r w:rsidRPr="00C44C44">
              <w:rPr>
                <w:rStyle w:val="Hyperlink"/>
                <w:noProof/>
              </w:rPr>
              <w:t>Recommendation 12: Support Energy Efficiency Adoption</w:t>
            </w:r>
            <w:r w:rsidRPr="00C44C44">
              <w:rPr>
                <w:noProof/>
                <w:webHidden/>
              </w:rPr>
              <w:tab/>
            </w:r>
            <w:r w:rsidRPr="00C44C44">
              <w:rPr>
                <w:noProof/>
                <w:webHidden/>
              </w:rPr>
              <w:fldChar w:fldCharType="begin"/>
            </w:r>
            <w:r w:rsidRPr="00C44C44">
              <w:rPr>
                <w:noProof/>
                <w:webHidden/>
              </w:rPr>
              <w:instrText xml:space="preserve"> PAGEREF _Toc239862915 \h </w:instrText>
            </w:r>
            <w:r w:rsidRPr="00C44C44">
              <w:rPr>
                <w:noProof/>
                <w:webHidden/>
              </w:rPr>
            </w:r>
            <w:r w:rsidRPr="00C44C44">
              <w:rPr>
                <w:noProof/>
                <w:webHidden/>
              </w:rPr>
              <w:fldChar w:fldCharType="separate"/>
            </w:r>
            <w:r w:rsidRPr="00C44C44">
              <w:rPr>
                <w:noProof/>
                <w:webHidden/>
              </w:rPr>
              <w:t>34</w:t>
            </w:r>
            <w:r w:rsidRPr="00C44C44">
              <w:rPr>
                <w:noProof/>
                <w:webHidden/>
              </w:rPr>
              <w:fldChar w:fldCharType="end"/>
            </w:r>
          </w:hyperlink>
        </w:p>
        <w:p w14:paraId="65C0B66C" w14:textId="72651986"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16" w:history="1">
            <w:r w:rsidRPr="00C44C44">
              <w:rPr>
                <w:rStyle w:val="Hyperlink"/>
                <w:noProof/>
              </w:rPr>
              <w:t>Recommendation 13: Build the DER Workforce</w:t>
            </w:r>
            <w:r w:rsidRPr="00C44C44">
              <w:rPr>
                <w:noProof/>
                <w:webHidden/>
              </w:rPr>
              <w:tab/>
            </w:r>
            <w:r w:rsidRPr="00C44C44">
              <w:rPr>
                <w:noProof/>
                <w:webHidden/>
              </w:rPr>
              <w:fldChar w:fldCharType="begin"/>
            </w:r>
            <w:r w:rsidRPr="00C44C44">
              <w:rPr>
                <w:noProof/>
                <w:webHidden/>
              </w:rPr>
              <w:instrText xml:space="preserve"> PAGEREF _Toc239862916 \h </w:instrText>
            </w:r>
            <w:r w:rsidRPr="00C44C44">
              <w:rPr>
                <w:noProof/>
                <w:webHidden/>
              </w:rPr>
            </w:r>
            <w:r w:rsidRPr="00C44C44">
              <w:rPr>
                <w:noProof/>
                <w:webHidden/>
              </w:rPr>
              <w:fldChar w:fldCharType="separate"/>
            </w:r>
            <w:r w:rsidRPr="00C44C44">
              <w:rPr>
                <w:noProof/>
                <w:webHidden/>
              </w:rPr>
              <w:t>34</w:t>
            </w:r>
            <w:r w:rsidRPr="00C44C44">
              <w:rPr>
                <w:noProof/>
                <w:webHidden/>
              </w:rPr>
              <w:fldChar w:fldCharType="end"/>
            </w:r>
          </w:hyperlink>
        </w:p>
        <w:p w14:paraId="2D233FE0" w14:textId="780C96C8" w:rsidR="002205A8" w:rsidRPr="00C44C44" w:rsidRDefault="002205A8">
          <w:pPr>
            <w:pStyle w:val="TOC3"/>
            <w:tabs>
              <w:tab w:val="right" w:leader="dot" w:pos="9350"/>
            </w:tabs>
            <w:rPr>
              <w:rFonts w:asciiTheme="minorHAnsi" w:eastAsiaTheme="minorEastAsia" w:hAnsiTheme="minorHAnsi" w:cstheme="minorBidi"/>
              <w:noProof/>
              <w:kern w:val="2"/>
              <w:sz w:val="24"/>
              <w:szCs w:val="24"/>
              <w14:ligatures w14:val="standardContextual"/>
            </w:rPr>
          </w:pPr>
          <w:hyperlink w:anchor="_Toc239862917" w:history="1">
            <w:r w:rsidRPr="00C44C44">
              <w:rPr>
                <w:rStyle w:val="Hyperlink"/>
                <w:noProof/>
              </w:rPr>
              <w:t>Recommendation 14: Enhance Customer Education and Outreach</w:t>
            </w:r>
            <w:r w:rsidRPr="00C44C44">
              <w:rPr>
                <w:noProof/>
                <w:webHidden/>
              </w:rPr>
              <w:tab/>
            </w:r>
            <w:r w:rsidRPr="00C44C44">
              <w:rPr>
                <w:noProof/>
                <w:webHidden/>
              </w:rPr>
              <w:fldChar w:fldCharType="begin"/>
            </w:r>
            <w:r w:rsidRPr="00C44C44">
              <w:rPr>
                <w:noProof/>
                <w:webHidden/>
              </w:rPr>
              <w:instrText xml:space="preserve"> PAGEREF _Toc239862917 \h </w:instrText>
            </w:r>
            <w:r w:rsidRPr="00C44C44">
              <w:rPr>
                <w:noProof/>
                <w:webHidden/>
              </w:rPr>
            </w:r>
            <w:r w:rsidRPr="00C44C44">
              <w:rPr>
                <w:noProof/>
                <w:webHidden/>
              </w:rPr>
              <w:fldChar w:fldCharType="separate"/>
            </w:r>
            <w:r w:rsidRPr="00C44C44">
              <w:rPr>
                <w:noProof/>
                <w:webHidden/>
              </w:rPr>
              <w:t>35</w:t>
            </w:r>
            <w:r w:rsidRPr="00C44C44">
              <w:rPr>
                <w:noProof/>
                <w:webHidden/>
              </w:rPr>
              <w:fldChar w:fldCharType="end"/>
            </w:r>
          </w:hyperlink>
        </w:p>
        <w:p w14:paraId="3C564AC5" w14:textId="529B37D6"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918" w:history="1">
            <w:r w:rsidRPr="00C44C44">
              <w:rPr>
                <w:rStyle w:val="Hyperlink"/>
                <w:rFonts w:eastAsia="Georgia"/>
                <w:noProof/>
              </w:rPr>
              <w:t>5.2 VPP Enabling Policy Prioritization and Regulatory Roadmap</w:t>
            </w:r>
            <w:r w:rsidRPr="00C44C44">
              <w:rPr>
                <w:noProof/>
                <w:webHidden/>
              </w:rPr>
              <w:tab/>
            </w:r>
            <w:r w:rsidRPr="00C44C44">
              <w:rPr>
                <w:noProof/>
                <w:webHidden/>
              </w:rPr>
              <w:fldChar w:fldCharType="begin"/>
            </w:r>
            <w:r w:rsidRPr="00C44C44">
              <w:rPr>
                <w:noProof/>
                <w:webHidden/>
              </w:rPr>
              <w:instrText xml:space="preserve"> PAGEREF _Toc239862918 \h </w:instrText>
            </w:r>
            <w:r w:rsidRPr="00C44C44">
              <w:rPr>
                <w:noProof/>
                <w:webHidden/>
              </w:rPr>
            </w:r>
            <w:r w:rsidRPr="00C44C44">
              <w:rPr>
                <w:noProof/>
                <w:webHidden/>
              </w:rPr>
              <w:fldChar w:fldCharType="separate"/>
            </w:r>
            <w:r w:rsidRPr="00C44C44">
              <w:rPr>
                <w:noProof/>
                <w:webHidden/>
              </w:rPr>
              <w:t>36</w:t>
            </w:r>
            <w:r w:rsidRPr="00C44C44">
              <w:rPr>
                <w:noProof/>
                <w:webHidden/>
              </w:rPr>
              <w:fldChar w:fldCharType="end"/>
            </w:r>
          </w:hyperlink>
        </w:p>
        <w:p w14:paraId="557F2B9A" w14:textId="5844E126"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919" w:history="1">
            <w:r w:rsidRPr="00C44C44">
              <w:rPr>
                <w:rStyle w:val="Hyperlink"/>
                <w:rFonts w:eastAsia="Georgia"/>
                <w:noProof/>
              </w:rPr>
              <w:t xml:space="preserve">5.3 FERC Order 2222 DER Aggregation Roadmap </w:t>
            </w:r>
            <w:r w:rsidR="00C44C44">
              <w:rPr>
                <w:rStyle w:val="Hyperlink"/>
                <w:rFonts w:eastAsia="Georgia"/>
                <w:noProof/>
              </w:rPr>
              <w:tab/>
            </w:r>
            <w:r w:rsidRPr="00C44C44">
              <w:rPr>
                <w:noProof/>
                <w:webHidden/>
              </w:rPr>
              <w:fldChar w:fldCharType="begin"/>
            </w:r>
            <w:r w:rsidRPr="00C44C44">
              <w:rPr>
                <w:noProof/>
                <w:webHidden/>
              </w:rPr>
              <w:instrText xml:space="preserve"> PAGEREF _Toc239862919 \h </w:instrText>
            </w:r>
            <w:r w:rsidRPr="00C44C44">
              <w:rPr>
                <w:noProof/>
                <w:webHidden/>
              </w:rPr>
            </w:r>
            <w:r w:rsidRPr="00C44C44">
              <w:rPr>
                <w:noProof/>
                <w:webHidden/>
              </w:rPr>
              <w:fldChar w:fldCharType="separate"/>
            </w:r>
            <w:r w:rsidRPr="00C44C44">
              <w:rPr>
                <w:noProof/>
                <w:webHidden/>
              </w:rPr>
              <w:t>42</w:t>
            </w:r>
            <w:r w:rsidRPr="00C44C44">
              <w:rPr>
                <w:noProof/>
                <w:webHidden/>
              </w:rPr>
              <w:fldChar w:fldCharType="end"/>
            </w:r>
          </w:hyperlink>
        </w:p>
        <w:p w14:paraId="75BB97A0" w14:textId="7331082B" w:rsidR="002205A8" w:rsidRPr="00C44C44" w:rsidRDefault="002205A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9862922" w:history="1">
            <w:r w:rsidRPr="00C44C44">
              <w:rPr>
                <w:rStyle w:val="Hyperlink"/>
                <w:rFonts w:eastAsia="Georgia"/>
                <w:noProof/>
              </w:rPr>
              <w:t>6. Conclusion</w:t>
            </w:r>
            <w:r w:rsidRPr="00C44C44">
              <w:rPr>
                <w:noProof/>
                <w:webHidden/>
              </w:rPr>
              <w:tab/>
            </w:r>
            <w:r w:rsidRPr="00C44C44">
              <w:rPr>
                <w:noProof/>
                <w:webHidden/>
              </w:rPr>
              <w:fldChar w:fldCharType="begin"/>
            </w:r>
            <w:r w:rsidRPr="00C44C44">
              <w:rPr>
                <w:noProof/>
                <w:webHidden/>
              </w:rPr>
              <w:instrText xml:space="preserve"> PAGEREF _Toc239862922 \h </w:instrText>
            </w:r>
            <w:r w:rsidRPr="00C44C44">
              <w:rPr>
                <w:noProof/>
                <w:webHidden/>
              </w:rPr>
            </w:r>
            <w:r w:rsidRPr="00C44C44">
              <w:rPr>
                <w:noProof/>
                <w:webHidden/>
              </w:rPr>
              <w:fldChar w:fldCharType="separate"/>
            </w:r>
            <w:r w:rsidRPr="00C44C44">
              <w:rPr>
                <w:noProof/>
                <w:webHidden/>
              </w:rPr>
              <w:t>47</w:t>
            </w:r>
            <w:r w:rsidRPr="00C44C44">
              <w:rPr>
                <w:noProof/>
                <w:webHidden/>
              </w:rPr>
              <w:fldChar w:fldCharType="end"/>
            </w:r>
          </w:hyperlink>
        </w:p>
        <w:p w14:paraId="38B4BC3A" w14:textId="6BE91955" w:rsidR="002205A8" w:rsidRPr="00C44C44" w:rsidRDefault="002205A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9862923" w:history="1">
            <w:r w:rsidRPr="00C44C44">
              <w:rPr>
                <w:rStyle w:val="Hyperlink"/>
                <w:rFonts w:eastAsia="Georgia"/>
                <w:noProof/>
              </w:rPr>
              <w:t>7. Appendix</w:t>
            </w:r>
            <w:r w:rsidRPr="00C44C44">
              <w:rPr>
                <w:noProof/>
                <w:webHidden/>
              </w:rPr>
              <w:tab/>
            </w:r>
            <w:r w:rsidRPr="00C44C44">
              <w:rPr>
                <w:noProof/>
                <w:webHidden/>
              </w:rPr>
              <w:fldChar w:fldCharType="begin"/>
            </w:r>
            <w:r w:rsidRPr="00C44C44">
              <w:rPr>
                <w:noProof/>
                <w:webHidden/>
              </w:rPr>
              <w:instrText xml:space="preserve"> PAGEREF _Toc239862923 \h </w:instrText>
            </w:r>
            <w:r w:rsidRPr="00C44C44">
              <w:rPr>
                <w:noProof/>
                <w:webHidden/>
              </w:rPr>
            </w:r>
            <w:r w:rsidRPr="00C44C44">
              <w:rPr>
                <w:noProof/>
                <w:webHidden/>
              </w:rPr>
              <w:fldChar w:fldCharType="separate"/>
            </w:r>
            <w:r w:rsidRPr="00C44C44">
              <w:rPr>
                <w:noProof/>
                <w:webHidden/>
              </w:rPr>
              <w:t>48</w:t>
            </w:r>
            <w:r w:rsidRPr="00C44C44">
              <w:rPr>
                <w:noProof/>
                <w:webHidden/>
              </w:rPr>
              <w:fldChar w:fldCharType="end"/>
            </w:r>
          </w:hyperlink>
        </w:p>
        <w:p w14:paraId="08A5D484" w14:textId="3AA70758" w:rsidR="002205A8" w:rsidRPr="00C44C44" w:rsidRDefault="002205A8">
          <w:pPr>
            <w:pStyle w:val="TOC1"/>
            <w:tabs>
              <w:tab w:val="right" w:leader="dot" w:pos="9350"/>
            </w:tabs>
            <w:rPr>
              <w:rFonts w:asciiTheme="minorHAnsi" w:eastAsiaTheme="minorEastAsia" w:hAnsiTheme="minorHAnsi" w:cstheme="minorBidi"/>
              <w:noProof/>
              <w:kern w:val="2"/>
              <w:sz w:val="24"/>
              <w:szCs w:val="24"/>
              <w14:ligatures w14:val="standardContextual"/>
            </w:rPr>
          </w:pPr>
          <w:hyperlink w:anchor="_Toc239862924" w:history="1">
            <w:r w:rsidRPr="00C44C44">
              <w:rPr>
                <w:rStyle w:val="Hyperlink"/>
                <w:rFonts w:eastAsia="Georgia"/>
                <w:noProof/>
              </w:rPr>
              <w:t>A. Overview of Task Force Members</w:t>
            </w:r>
            <w:r w:rsidRPr="00C44C44">
              <w:rPr>
                <w:noProof/>
                <w:webHidden/>
              </w:rPr>
              <w:tab/>
            </w:r>
            <w:r w:rsidRPr="00C44C44">
              <w:rPr>
                <w:noProof/>
                <w:webHidden/>
              </w:rPr>
              <w:fldChar w:fldCharType="begin"/>
            </w:r>
            <w:r w:rsidRPr="00C44C44">
              <w:rPr>
                <w:noProof/>
                <w:webHidden/>
              </w:rPr>
              <w:instrText xml:space="preserve"> PAGEREF _Toc239862924 \h </w:instrText>
            </w:r>
            <w:r w:rsidRPr="00C44C44">
              <w:rPr>
                <w:noProof/>
                <w:webHidden/>
              </w:rPr>
            </w:r>
            <w:r w:rsidRPr="00C44C44">
              <w:rPr>
                <w:noProof/>
                <w:webHidden/>
              </w:rPr>
              <w:fldChar w:fldCharType="separate"/>
            </w:r>
            <w:r w:rsidRPr="00C44C44">
              <w:rPr>
                <w:noProof/>
                <w:webHidden/>
              </w:rPr>
              <w:t>48</w:t>
            </w:r>
            <w:r w:rsidRPr="00C44C44">
              <w:rPr>
                <w:noProof/>
                <w:webHidden/>
              </w:rPr>
              <w:fldChar w:fldCharType="end"/>
            </w:r>
          </w:hyperlink>
        </w:p>
        <w:p w14:paraId="5CD67E74" w14:textId="6646C661" w:rsidR="002205A8" w:rsidRPr="00C44C44" w:rsidRDefault="002205A8">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925" w:history="1">
            <w:r w:rsidRPr="00C44C44">
              <w:rPr>
                <w:rStyle w:val="Hyperlink"/>
                <w:rFonts w:eastAsia="Georgia"/>
                <w:noProof/>
              </w:rPr>
              <w:t>B. Summary of Stakeholder Input and Process</w:t>
            </w:r>
            <w:r w:rsidRPr="00C44C44">
              <w:rPr>
                <w:noProof/>
                <w:webHidden/>
              </w:rPr>
              <w:tab/>
            </w:r>
            <w:r w:rsidRPr="00C44C44">
              <w:rPr>
                <w:noProof/>
                <w:webHidden/>
              </w:rPr>
              <w:fldChar w:fldCharType="begin"/>
            </w:r>
            <w:r w:rsidRPr="00C44C44">
              <w:rPr>
                <w:noProof/>
                <w:webHidden/>
              </w:rPr>
              <w:instrText xml:space="preserve"> PAGEREF _Toc239862925 \h </w:instrText>
            </w:r>
            <w:r w:rsidRPr="00C44C44">
              <w:rPr>
                <w:noProof/>
                <w:webHidden/>
              </w:rPr>
            </w:r>
            <w:r w:rsidRPr="00C44C44">
              <w:rPr>
                <w:noProof/>
                <w:webHidden/>
              </w:rPr>
              <w:fldChar w:fldCharType="separate"/>
            </w:r>
            <w:r w:rsidRPr="00C44C44">
              <w:rPr>
                <w:noProof/>
                <w:webHidden/>
              </w:rPr>
              <w:t>48</w:t>
            </w:r>
            <w:r w:rsidRPr="00C44C44">
              <w:rPr>
                <w:noProof/>
                <w:webHidden/>
              </w:rPr>
              <w:fldChar w:fldCharType="end"/>
            </w:r>
          </w:hyperlink>
        </w:p>
        <w:p w14:paraId="35D16FAA" w14:textId="4022EEF9" w:rsidR="002205A8" w:rsidRPr="00C44C44" w:rsidRDefault="00E73F6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927" w:history="1">
            <w:r>
              <w:rPr>
                <w:rStyle w:val="Hyperlink"/>
                <w:rFonts w:eastAsia="Georgia"/>
                <w:noProof/>
              </w:rPr>
              <w:t>C</w:t>
            </w:r>
            <w:r w:rsidR="002205A8" w:rsidRPr="00C44C44">
              <w:rPr>
                <w:rStyle w:val="Hyperlink"/>
                <w:rFonts w:eastAsia="Georgia"/>
                <w:noProof/>
              </w:rPr>
              <w:t>. Relevant Enabling Virginia Legislation</w:t>
            </w:r>
            <w:r w:rsidR="002205A8" w:rsidRPr="00C44C44">
              <w:rPr>
                <w:noProof/>
                <w:webHidden/>
              </w:rPr>
              <w:tab/>
            </w:r>
            <w:r w:rsidR="002205A8" w:rsidRPr="00C44C44">
              <w:rPr>
                <w:noProof/>
                <w:webHidden/>
              </w:rPr>
              <w:fldChar w:fldCharType="begin"/>
            </w:r>
            <w:r w:rsidR="002205A8" w:rsidRPr="00C44C44">
              <w:rPr>
                <w:noProof/>
                <w:webHidden/>
              </w:rPr>
              <w:instrText xml:space="preserve"> PAGEREF _Toc239862927 \h </w:instrText>
            </w:r>
            <w:r w:rsidR="002205A8" w:rsidRPr="00C44C44">
              <w:rPr>
                <w:noProof/>
                <w:webHidden/>
              </w:rPr>
            </w:r>
            <w:r w:rsidR="002205A8" w:rsidRPr="00C44C44">
              <w:rPr>
                <w:noProof/>
                <w:webHidden/>
              </w:rPr>
              <w:fldChar w:fldCharType="separate"/>
            </w:r>
            <w:r w:rsidR="002205A8" w:rsidRPr="00C44C44">
              <w:rPr>
                <w:noProof/>
                <w:webHidden/>
              </w:rPr>
              <w:t>48</w:t>
            </w:r>
            <w:r w:rsidR="002205A8" w:rsidRPr="00C44C44">
              <w:rPr>
                <w:noProof/>
                <w:webHidden/>
              </w:rPr>
              <w:fldChar w:fldCharType="end"/>
            </w:r>
          </w:hyperlink>
        </w:p>
        <w:p w14:paraId="574CA9B4" w14:textId="0873C4DC" w:rsidR="002205A8" w:rsidRPr="00C44C44" w:rsidRDefault="00E73F6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929" w:history="1">
            <w:r>
              <w:rPr>
                <w:rStyle w:val="Hyperlink"/>
                <w:rFonts w:eastAsia="Georgia"/>
                <w:noProof/>
              </w:rPr>
              <w:t>D</w:t>
            </w:r>
            <w:r w:rsidR="002205A8" w:rsidRPr="00C44C44">
              <w:rPr>
                <w:rStyle w:val="Hyperlink"/>
                <w:rFonts w:eastAsia="Georgia"/>
                <w:noProof/>
              </w:rPr>
              <w:t xml:space="preserve">. EPDI VPP Policy </w:t>
            </w:r>
            <w:r>
              <w:rPr>
                <w:rStyle w:val="Hyperlink"/>
                <w:rFonts w:eastAsia="Georgia"/>
                <w:noProof/>
              </w:rPr>
              <w:t>Framework and Roadmap – Additional Detail</w:t>
            </w:r>
            <w:r w:rsidR="002205A8" w:rsidRPr="00C44C44">
              <w:rPr>
                <w:noProof/>
                <w:webHidden/>
              </w:rPr>
              <w:tab/>
            </w:r>
            <w:r w:rsidR="002205A8" w:rsidRPr="00C44C44">
              <w:rPr>
                <w:noProof/>
                <w:webHidden/>
              </w:rPr>
              <w:fldChar w:fldCharType="begin"/>
            </w:r>
            <w:r w:rsidR="002205A8" w:rsidRPr="00C44C44">
              <w:rPr>
                <w:noProof/>
                <w:webHidden/>
              </w:rPr>
              <w:instrText xml:space="preserve"> PAGEREF _Toc239862929 \h </w:instrText>
            </w:r>
            <w:r w:rsidR="002205A8" w:rsidRPr="00C44C44">
              <w:rPr>
                <w:noProof/>
                <w:webHidden/>
              </w:rPr>
            </w:r>
            <w:r w:rsidR="002205A8" w:rsidRPr="00C44C44">
              <w:rPr>
                <w:noProof/>
                <w:webHidden/>
              </w:rPr>
              <w:fldChar w:fldCharType="separate"/>
            </w:r>
            <w:r w:rsidR="002205A8" w:rsidRPr="00C44C44">
              <w:rPr>
                <w:noProof/>
                <w:webHidden/>
              </w:rPr>
              <w:t>50</w:t>
            </w:r>
            <w:r w:rsidR="002205A8" w:rsidRPr="00C44C44">
              <w:rPr>
                <w:noProof/>
                <w:webHidden/>
              </w:rPr>
              <w:fldChar w:fldCharType="end"/>
            </w:r>
          </w:hyperlink>
        </w:p>
        <w:p w14:paraId="3317500F" w14:textId="7C7B3223" w:rsidR="002205A8" w:rsidRPr="00C44C44" w:rsidRDefault="00E73F62">
          <w:pPr>
            <w:pStyle w:val="TOC2"/>
            <w:tabs>
              <w:tab w:val="right" w:leader="dot" w:pos="9350"/>
            </w:tabs>
            <w:rPr>
              <w:rFonts w:asciiTheme="minorHAnsi" w:eastAsiaTheme="minorEastAsia" w:hAnsiTheme="minorHAnsi" w:cstheme="minorBidi"/>
              <w:noProof/>
              <w:kern w:val="2"/>
              <w:sz w:val="24"/>
              <w:szCs w:val="24"/>
              <w14:ligatures w14:val="standardContextual"/>
            </w:rPr>
          </w:pPr>
          <w:hyperlink w:anchor="_Toc239862930" w:history="1">
            <w:r>
              <w:rPr>
                <w:rStyle w:val="Hyperlink"/>
                <w:rFonts w:eastAsia="Georgia"/>
                <w:noProof/>
              </w:rPr>
              <w:t>E.</w:t>
            </w:r>
            <w:r w:rsidR="002205A8" w:rsidRPr="00C44C44">
              <w:rPr>
                <w:rStyle w:val="Hyperlink"/>
                <w:rFonts w:eastAsia="Georgia"/>
                <w:noProof/>
              </w:rPr>
              <w:t xml:space="preserve"> FERC 2222</w:t>
            </w:r>
            <w:r>
              <w:rPr>
                <w:rStyle w:val="Hyperlink"/>
                <w:rFonts w:eastAsia="Georgia"/>
                <w:noProof/>
              </w:rPr>
              <w:t xml:space="preserve"> Roadmap – Additional Detail</w:t>
            </w:r>
            <w:r w:rsidR="002205A8" w:rsidRPr="00C44C44">
              <w:rPr>
                <w:noProof/>
                <w:webHidden/>
              </w:rPr>
              <w:tab/>
            </w:r>
            <w:r w:rsidR="002205A8" w:rsidRPr="00C44C44">
              <w:rPr>
                <w:noProof/>
                <w:webHidden/>
              </w:rPr>
              <w:fldChar w:fldCharType="begin"/>
            </w:r>
            <w:r w:rsidR="002205A8" w:rsidRPr="00C44C44">
              <w:rPr>
                <w:noProof/>
                <w:webHidden/>
              </w:rPr>
              <w:instrText xml:space="preserve"> PAGEREF _Toc239862930 \h </w:instrText>
            </w:r>
            <w:r w:rsidR="002205A8" w:rsidRPr="00C44C44">
              <w:rPr>
                <w:noProof/>
                <w:webHidden/>
              </w:rPr>
            </w:r>
            <w:r w:rsidR="002205A8" w:rsidRPr="00C44C44">
              <w:rPr>
                <w:noProof/>
                <w:webHidden/>
              </w:rPr>
              <w:fldChar w:fldCharType="separate"/>
            </w:r>
            <w:r w:rsidR="002205A8" w:rsidRPr="00C44C44">
              <w:rPr>
                <w:noProof/>
                <w:webHidden/>
              </w:rPr>
              <w:t>57</w:t>
            </w:r>
            <w:r w:rsidR="002205A8" w:rsidRPr="00C44C44">
              <w:rPr>
                <w:noProof/>
                <w:webHidden/>
              </w:rPr>
              <w:fldChar w:fldCharType="end"/>
            </w:r>
          </w:hyperlink>
        </w:p>
        <w:p w14:paraId="2AC9AA66" w14:textId="47A16D10" w:rsidR="005D6CE7" w:rsidRPr="0041421A" w:rsidRDefault="634DD210" w:rsidP="00E73F62">
          <w:pPr>
            <w:pStyle w:val="TOC2"/>
            <w:tabs>
              <w:tab w:val="right" w:leader="dot" w:pos="9345"/>
            </w:tabs>
            <w:ind w:left="0"/>
          </w:pPr>
          <w:r w:rsidRPr="00C44C44">
            <w:fldChar w:fldCharType="end"/>
          </w:r>
        </w:p>
      </w:sdtContent>
    </w:sdt>
    <w:p w14:paraId="14475153" w14:textId="147C4988" w:rsidR="005D6CE7" w:rsidRPr="0041421A" w:rsidRDefault="00995D1A" w:rsidP="00160BBE">
      <w:pPr>
        <w:sectPr w:rsidR="005D6CE7" w:rsidRPr="0041421A">
          <w:headerReference w:type="default" r:id="rId11"/>
          <w:footerReference w:type="default" r:id="rId12"/>
          <w:pgSz w:w="12240" w:h="15840"/>
          <w:pgMar w:top="1440" w:right="1440" w:bottom="1440" w:left="1440" w:header="708" w:footer="708" w:gutter="0"/>
          <w:cols w:space="720"/>
          <w:docGrid w:linePitch="360"/>
        </w:sectPr>
      </w:pPr>
      <w:r w:rsidRPr="0041421A">
        <w:br w:type="page"/>
      </w:r>
    </w:p>
    <w:p w14:paraId="5093D212" w14:textId="77777777" w:rsidR="005D6CE7" w:rsidRPr="0041421A" w:rsidRDefault="00995D1A" w:rsidP="00160BBE">
      <w:pPr>
        <w:pStyle w:val="Heading1"/>
        <w:pageBreakBefore/>
        <w:pBdr>
          <w:bottom w:val="single" w:sz="10" w:space="6" w:color="1F3A5F"/>
        </w:pBdr>
        <w:spacing w:after="240"/>
        <w:rPr>
          <w:rFonts w:eastAsia="Georgia"/>
          <w:b/>
          <w:color w:val="1F3A5F"/>
        </w:rPr>
      </w:pPr>
      <w:bookmarkStart w:id="50" w:name="_Toc1078202524"/>
      <w:bookmarkStart w:id="51" w:name="_Toc552119294"/>
      <w:bookmarkStart w:id="52" w:name="_Toc730190788"/>
      <w:bookmarkStart w:id="53" w:name="_Toc104678305"/>
      <w:bookmarkStart w:id="54" w:name="_Toc1647072804"/>
      <w:bookmarkStart w:id="55" w:name="_Toc613860128"/>
      <w:bookmarkStart w:id="56" w:name="_Toc1892189632"/>
      <w:bookmarkStart w:id="57" w:name="_Toc1430308099"/>
      <w:bookmarkStart w:id="58" w:name="_Toc1002349049"/>
      <w:bookmarkStart w:id="59" w:name="_Toc1833391719"/>
      <w:bookmarkStart w:id="60" w:name="_Toc1150205582"/>
      <w:bookmarkStart w:id="61" w:name="_Toc1559316446"/>
      <w:bookmarkStart w:id="62" w:name="_Toc59646304"/>
      <w:bookmarkStart w:id="63" w:name="_Toc548247876"/>
      <w:bookmarkStart w:id="64" w:name="_Toc1314525230"/>
      <w:bookmarkStart w:id="65" w:name="_Toc1229041458"/>
      <w:bookmarkStart w:id="66" w:name="_Toc928283406"/>
      <w:bookmarkStart w:id="67" w:name="_Toc1947944564"/>
      <w:bookmarkStart w:id="68" w:name="_Toc148125236"/>
      <w:bookmarkStart w:id="69" w:name="_Toc1288780282"/>
      <w:bookmarkStart w:id="70" w:name="_Toc911184418"/>
      <w:bookmarkStart w:id="71" w:name="_Toc1957294157"/>
      <w:bookmarkStart w:id="72" w:name="_Toc980271279"/>
      <w:bookmarkStart w:id="73" w:name="_Toc258424745"/>
      <w:bookmarkStart w:id="74" w:name="_Toc2017249818"/>
      <w:bookmarkStart w:id="75" w:name="_Toc5538942"/>
      <w:bookmarkStart w:id="76" w:name="_Toc1768208362"/>
      <w:bookmarkStart w:id="77" w:name="_Toc135163923"/>
      <w:bookmarkStart w:id="78" w:name="_Toc1041567751"/>
      <w:bookmarkStart w:id="79" w:name="_Toc382605210"/>
      <w:bookmarkStart w:id="80" w:name="_Toc1321265518"/>
      <w:bookmarkStart w:id="81" w:name="_Toc2081716618"/>
      <w:bookmarkStart w:id="82" w:name="_Toc986189668"/>
      <w:bookmarkStart w:id="83" w:name="_Toc254569355"/>
      <w:bookmarkStart w:id="84" w:name="_Toc39036048"/>
      <w:bookmarkStart w:id="85" w:name="_Toc824930890"/>
      <w:bookmarkStart w:id="86" w:name="_Toc2123668673"/>
      <w:bookmarkStart w:id="87" w:name="_Toc1197073250"/>
      <w:bookmarkStart w:id="88" w:name="_Toc679244836"/>
      <w:bookmarkStart w:id="89" w:name="_Toc1916516784"/>
      <w:bookmarkStart w:id="90" w:name="_Toc1411710160"/>
      <w:bookmarkStart w:id="91" w:name="_Toc397877366"/>
      <w:bookmarkStart w:id="92" w:name="_Toc314143418"/>
      <w:bookmarkStart w:id="93" w:name="_Toc967335311"/>
      <w:bookmarkStart w:id="94" w:name="_Toc1421542738"/>
      <w:bookmarkStart w:id="95" w:name="_Toc996470541"/>
      <w:bookmarkStart w:id="96" w:name="_Toc1252528191"/>
      <w:bookmarkStart w:id="97" w:name="_Toc2096208983"/>
      <w:bookmarkStart w:id="98" w:name="_Toc239862880"/>
      <w:r w:rsidRPr="0041421A">
        <w:rPr>
          <w:rFonts w:eastAsia="Georgia"/>
          <w:b/>
          <w:bCs/>
          <w:color w:val="1F3A5F"/>
        </w:rPr>
        <w:t>2. Introduction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778BC430" w14:textId="77777777" w:rsidR="005D6CE7" w:rsidRPr="0041421A" w:rsidRDefault="00995D1A" w:rsidP="00160BBE">
      <w:pPr>
        <w:pStyle w:val="Heading2"/>
        <w:spacing w:after="160"/>
        <w:rPr>
          <w:rFonts w:eastAsia="Georgia"/>
          <w:b/>
          <w:color w:val="1F3A5F"/>
        </w:rPr>
      </w:pPr>
      <w:bookmarkStart w:id="99" w:name="_Toc466108371"/>
      <w:bookmarkStart w:id="100" w:name="_Toc1521102712"/>
      <w:bookmarkStart w:id="101" w:name="_Toc1041198682"/>
      <w:bookmarkStart w:id="102" w:name="_Toc589755918"/>
      <w:bookmarkStart w:id="103" w:name="_Toc1316115363"/>
      <w:bookmarkStart w:id="104" w:name="_Toc1708935676"/>
      <w:bookmarkStart w:id="105" w:name="_Toc1663988236"/>
      <w:bookmarkStart w:id="106" w:name="_Toc281429405"/>
      <w:bookmarkStart w:id="107" w:name="_Toc1635697947"/>
      <w:bookmarkStart w:id="108" w:name="_Toc1976079191"/>
      <w:bookmarkStart w:id="109" w:name="_Toc1079874561"/>
      <w:bookmarkStart w:id="110" w:name="_Toc504545127"/>
      <w:bookmarkStart w:id="111" w:name="_Toc1835510256"/>
      <w:bookmarkStart w:id="112" w:name="_Toc1924679565"/>
      <w:bookmarkStart w:id="113" w:name="_Toc1722369789"/>
      <w:bookmarkStart w:id="114" w:name="_Toc963488509"/>
      <w:bookmarkStart w:id="115" w:name="_Toc1487988601"/>
      <w:bookmarkStart w:id="116" w:name="_Toc727049489"/>
      <w:bookmarkStart w:id="117" w:name="_Toc1705324065"/>
      <w:bookmarkStart w:id="118" w:name="_Toc716907754"/>
      <w:bookmarkStart w:id="119" w:name="_Toc1063872830"/>
      <w:bookmarkStart w:id="120" w:name="_Toc773900074"/>
      <w:bookmarkStart w:id="121" w:name="_Toc246691808"/>
      <w:bookmarkStart w:id="122" w:name="_Toc685864375"/>
      <w:bookmarkStart w:id="123" w:name="_Toc401477570"/>
      <w:bookmarkStart w:id="124" w:name="_Toc657311563"/>
      <w:bookmarkStart w:id="125" w:name="_Toc1909805587"/>
      <w:bookmarkStart w:id="126" w:name="_Toc881105697"/>
      <w:bookmarkStart w:id="127" w:name="_Toc113892688"/>
      <w:bookmarkStart w:id="128" w:name="_Toc1717334652"/>
      <w:bookmarkStart w:id="129" w:name="_Toc782867872"/>
      <w:bookmarkStart w:id="130" w:name="_Toc802159286"/>
      <w:bookmarkStart w:id="131" w:name="_Toc1066303123"/>
      <w:bookmarkStart w:id="132" w:name="_Toc1466674402"/>
      <w:bookmarkStart w:id="133" w:name="_Toc393380802"/>
      <w:bookmarkStart w:id="134" w:name="_Toc1913605609"/>
      <w:bookmarkStart w:id="135" w:name="_Toc1325842405"/>
      <w:bookmarkStart w:id="136" w:name="_Toc832391184"/>
      <w:bookmarkStart w:id="137" w:name="_Toc1402886334"/>
      <w:bookmarkStart w:id="138" w:name="_Toc156435201"/>
      <w:bookmarkStart w:id="139" w:name="_Toc9962163"/>
      <w:bookmarkStart w:id="140" w:name="_Toc1456927802"/>
      <w:bookmarkStart w:id="141" w:name="_Toc1049951287"/>
      <w:bookmarkStart w:id="142" w:name="_Toc1100102963"/>
      <w:bookmarkStart w:id="143" w:name="_Toc2089332455"/>
      <w:bookmarkStart w:id="144" w:name="_Toc708212917"/>
      <w:bookmarkStart w:id="145" w:name="_Toc533644640"/>
      <w:bookmarkStart w:id="146" w:name="_Toc1741240260"/>
      <w:bookmarkStart w:id="147" w:name="_Toc239862881"/>
      <w:r w:rsidRPr="0041421A">
        <w:rPr>
          <w:rFonts w:eastAsia="Georgia"/>
          <w:b/>
          <w:bCs/>
          <w:color w:val="1F3A5F"/>
        </w:rPr>
        <w:t>2.1 Statutory Mandate and Objectives of the Task Force</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3BCFAFAD" w14:textId="75909501" w:rsidR="004678A5" w:rsidRDefault="00995D1A" w:rsidP="00F435F1">
      <w:pPr>
        <w:spacing w:after="200"/>
        <w:jc w:val="both"/>
      </w:pPr>
      <w:r w:rsidRPr="0041421A">
        <w:t xml:space="preserve">The Virginia Distributed Energy Resources Task Force was established by House Bill </w:t>
      </w:r>
      <w:r w:rsidR="005A7DBA">
        <w:t>(HB)</w:t>
      </w:r>
      <w:r w:rsidRPr="0041421A">
        <w:t xml:space="preserve"> 285 and Senate Bill </w:t>
      </w:r>
      <w:r w:rsidR="005A7DBA">
        <w:t>(SB)</w:t>
      </w:r>
      <w:r w:rsidRPr="0041421A">
        <w:t xml:space="preserve"> 223</w:t>
      </w:r>
      <w:r w:rsidR="00236F5C">
        <w:t xml:space="preserve"> and</w:t>
      </w:r>
      <w:r w:rsidRPr="0041421A">
        <w:t xml:space="preserve"> enacted during the 2026 Regular Session of the General Assembly (2026 Acts of Assembly, Chapters 1042 and 997). </w:t>
      </w:r>
      <w:r w:rsidR="005A7DBA">
        <w:t>HB 285 / SB 223</w:t>
      </w:r>
      <w:r w:rsidRPr="0041421A">
        <w:t xml:space="preserve"> </w:t>
      </w:r>
      <w:r w:rsidR="00751E0A">
        <w:t>established</w:t>
      </w:r>
      <w:r w:rsidRPr="0041421A">
        <w:t xml:space="preserve"> the Task Force as an </w:t>
      </w:r>
      <w:r w:rsidR="00FF717F">
        <w:t>executive branch-leve</w:t>
      </w:r>
      <w:r w:rsidR="00DD4019">
        <w:t>l</w:t>
      </w:r>
      <w:r w:rsidR="00FF717F">
        <w:t xml:space="preserve"> </w:t>
      </w:r>
      <w:r w:rsidRPr="0041421A">
        <w:t xml:space="preserve">advisory </w:t>
      </w:r>
      <w:r w:rsidR="00617D5F">
        <w:t>commission</w:t>
      </w:r>
      <w:r w:rsidRPr="0041421A">
        <w:t xml:space="preserve"> charged with</w:t>
      </w:r>
      <w:r w:rsidR="005A7DBA">
        <w:t>:</w:t>
      </w:r>
    </w:p>
    <w:p w14:paraId="04A2862A" w14:textId="17B4CD26" w:rsidR="004678A5" w:rsidRDefault="004678A5" w:rsidP="003A7E6F">
      <w:pPr>
        <w:pStyle w:val="ListParagraph"/>
        <w:numPr>
          <w:ilvl w:val="0"/>
          <w:numId w:val="1"/>
        </w:numPr>
        <w:spacing w:after="200"/>
        <w:jc w:val="both"/>
      </w:pPr>
      <w:r>
        <w:t>D</w:t>
      </w:r>
      <w:r w:rsidRPr="004678A5">
        <w:t>evelop</w:t>
      </w:r>
      <w:r w:rsidR="005A7DBA">
        <w:t>ing</w:t>
      </w:r>
      <w:r w:rsidR="00995D1A" w:rsidRPr="0041421A">
        <w:t xml:space="preserve"> a </w:t>
      </w:r>
      <w:r w:rsidRPr="004678A5">
        <w:t xml:space="preserve">comprehensive </w:t>
      </w:r>
      <w:r w:rsidR="00995D1A" w:rsidRPr="0041421A">
        <w:t xml:space="preserve">strategy to advance </w:t>
      </w:r>
      <w:r w:rsidRPr="004678A5">
        <w:t xml:space="preserve">energy affordability and the Commonwealth's transition toward </w:t>
      </w:r>
      <w:r w:rsidR="00995D1A" w:rsidRPr="0041421A">
        <w:t xml:space="preserve">integrated distributed energy resource </w:t>
      </w:r>
      <w:r w:rsidRPr="004678A5">
        <w:t>market</w:t>
      </w:r>
      <w:r>
        <w:t>.</w:t>
      </w:r>
    </w:p>
    <w:p w14:paraId="0F61F91B" w14:textId="1FE74310" w:rsidR="004678A5" w:rsidRPr="00751E0A" w:rsidRDefault="00751E0A" w:rsidP="003A7E6F">
      <w:pPr>
        <w:pStyle w:val="ListParagraph"/>
        <w:numPr>
          <w:ilvl w:val="0"/>
          <w:numId w:val="1"/>
        </w:numPr>
        <w:spacing w:after="200"/>
        <w:jc w:val="both"/>
      </w:pPr>
      <w:r w:rsidRPr="00751E0A">
        <w:t>Support</w:t>
      </w:r>
      <w:r w:rsidR="00F50AC1">
        <w:t>ing</w:t>
      </w:r>
      <w:r w:rsidR="00995D1A" w:rsidRPr="0041421A">
        <w:t xml:space="preserve"> the Commonwealth's compliance with</w:t>
      </w:r>
      <w:r w:rsidRPr="00751E0A">
        <w:t> Federal Energy Regulatory Commission (</w:t>
      </w:r>
      <w:r w:rsidR="003A5A88" w:rsidRPr="0041421A">
        <w:t>FERC</w:t>
      </w:r>
      <w:r w:rsidRPr="00751E0A">
        <w:t>) </w:t>
      </w:r>
      <w:r w:rsidR="003A5A88" w:rsidRPr="0041421A">
        <w:t>Order No. 2222</w:t>
      </w:r>
      <w:r w:rsidR="00995D1A" w:rsidRPr="0041421A">
        <w:t>.</w:t>
      </w:r>
    </w:p>
    <w:p w14:paraId="47F24BCA" w14:textId="17DCC950" w:rsidR="005D6CE7" w:rsidRPr="0041421A" w:rsidRDefault="00995D1A" w:rsidP="00F435F1">
      <w:pPr>
        <w:spacing w:after="200"/>
        <w:jc w:val="both"/>
      </w:pPr>
      <w:r w:rsidRPr="0041421A">
        <w:t xml:space="preserve">The Task Force is chaired by Chief Energy Officer Josephus Allmond and comprises 16 members in total, including </w:t>
      </w:r>
      <w:r w:rsidR="00817983">
        <w:t xml:space="preserve">Chief Energy Officer Josephus Allmond, </w:t>
      </w:r>
      <w:r w:rsidRPr="0041421A">
        <w:t>Lieutenant Governor Ghazala Hashmi, two Delegates, one Senator, representatives of state and local government, electric utilities, DER industry participants, and consumer/environmental advocates (full roster in Appendix A</w:t>
      </w:r>
      <w:r w:rsidR="00E100DB">
        <w:rPr>
          <w:rStyle w:val="FootnoteReference"/>
        </w:rPr>
        <w:footnoteReference w:id="1"/>
      </w:r>
      <w:r w:rsidRPr="0041421A">
        <w:t>). The enabling legislation includes a sunset date of July 1, 2027.</w:t>
      </w:r>
      <w:r w:rsidR="00FF717F">
        <w:rPr>
          <w:rStyle w:val="FootnoteReference"/>
        </w:rPr>
        <w:footnoteReference w:id="2"/>
      </w:r>
    </w:p>
    <w:tbl>
      <w:tblPr>
        <w:tblW w:w="5000" w:type="pct"/>
        <w:tblBorders>
          <w:top w:val="single" w:sz="4" w:space="0" w:color="C6CDD4"/>
          <w:left w:val="single" w:sz="4" w:space="0" w:color="C6CDD4"/>
          <w:bottom w:val="single" w:sz="4" w:space="0" w:color="C6CDD4"/>
          <w:right w:val="single" w:sz="4" w:space="0" w:color="C6CDD4"/>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5D6CE7" w:rsidRPr="0041421A" w14:paraId="6274A7B0" w14:textId="77777777">
        <w:tc>
          <w:tcPr>
            <w:tcW w:w="0" w:type="auto"/>
            <w:shd w:val="clear" w:color="auto" w:fill="E9ECEF"/>
            <w:tcMar>
              <w:top w:w="160" w:type="dxa"/>
              <w:left w:w="200" w:type="dxa"/>
              <w:bottom w:w="160" w:type="dxa"/>
              <w:right w:w="200" w:type="dxa"/>
            </w:tcMar>
          </w:tcPr>
          <w:p w14:paraId="35526305" w14:textId="6EEB52F6" w:rsidR="005D6CE7" w:rsidRPr="0041421A" w:rsidRDefault="00995D1A" w:rsidP="00160BBE">
            <w:pPr>
              <w:spacing w:after="80"/>
            </w:pPr>
            <w:r w:rsidRPr="0041421A">
              <w:rPr>
                <w:b/>
                <w:bCs/>
                <w:color w:val="1F3A5F"/>
                <w:sz w:val="19"/>
                <w:szCs w:val="19"/>
              </w:rPr>
              <w:t>TO BE DEVELOPED</w:t>
            </w:r>
            <w:r w:rsidR="00A80F77">
              <w:rPr>
                <w:b/>
                <w:bCs/>
                <w:color w:val="1F3A5F"/>
                <w:sz w:val="19"/>
                <w:szCs w:val="19"/>
              </w:rPr>
              <w:t xml:space="preserve">: </w:t>
            </w:r>
            <w:r w:rsidR="00A80F77" w:rsidRPr="00A80F77">
              <w:rPr>
                <w:b/>
                <w:bCs/>
                <w:color w:val="1F3A5F"/>
                <w:sz w:val="19"/>
                <w:szCs w:val="19"/>
              </w:rPr>
              <w:t>HB 285 / SB 223 Overview</w:t>
            </w:r>
          </w:p>
          <w:p w14:paraId="7E3215A0" w14:textId="66839E5C" w:rsidR="005D6CE7" w:rsidRPr="0041421A" w:rsidRDefault="00995D1A" w:rsidP="00A80F77">
            <w:pPr>
              <w:spacing w:after="80"/>
            </w:pPr>
            <w:r w:rsidRPr="0041421A">
              <w:rPr>
                <w:color w:val="3D4A5C"/>
                <w:sz w:val="20"/>
                <w:szCs w:val="20"/>
              </w:rPr>
              <w:t xml:space="preserve">• </w:t>
            </w:r>
            <w:r w:rsidR="00BF0B35">
              <w:rPr>
                <w:color w:val="3D4A5C"/>
                <w:sz w:val="20"/>
                <w:szCs w:val="20"/>
              </w:rPr>
              <w:t>Summary of</w:t>
            </w:r>
            <w:r w:rsidRPr="0041421A">
              <w:rPr>
                <w:color w:val="3D4A5C"/>
                <w:sz w:val="20"/>
                <w:szCs w:val="20"/>
              </w:rPr>
              <w:t xml:space="preserve"> </w:t>
            </w:r>
            <w:r w:rsidR="00BF0B35">
              <w:rPr>
                <w:color w:val="3D4A5C"/>
                <w:sz w:val="20"/>
                <w:szCs w:val="20"/>
              </w:rPr>
              <w:t>key</w:t>
            </w:r>
            <w:r w:rsidRPr="0041421A">
              <w:rPr>
                <w:color w:val="3D4A5C"/>
                <w:sz w:val="20"/>
                <w:szCs w:val="20"/>
              </w:rPr>
              <w:t xml:space="preserve"> statutory requirements the Task Force must address (legislative audit of DER-related law, microgrids/community resilience hubs, interconnection standards referencing IEEE 1547-2018 / UL 1741) so the report can confirm coverage of each</w:t>
            </w:r>
          </w:p>
        </w:tc>
      </w:tr>
    </w:tbl>
    <w:p w14:paraId="305201DA" w14:textId="52AE7274" w:rsidR="005D6CE7" w:rsidRDefault="00995D1A" w:rsidP="003A7E6F">
      <w:pPr>
        <w:pStyle w:val="Heading2"/>
        <w:numPr>
          <w:ilvl w:val="1"/>
          <w:numId w:val="1"/>
        </w:numPr>
        <w:spacing w:after="160"/>
        <w:ind w:left="360" w:hanging="360"/>
        <w:rPr>
          <w:rFonts w:eastAsia="Georgia"/>
          <w:b/>
          <w:color w:val="1F3A5F"/>
        </w:rPr>
      </w:pPr>
      <w:bookmarkStart w:id="148" w:name="_Toc1934160616"/>
      <w:bookmarkStart w:id="149" w:name="_Toc527187091"/>
      <w:bookmarkStart w:id="150" w:name="_Toc347478856"/>
      <w:bookmarkStart w:id="151" w:name="_Toc180883281"/>
      <w:bookmarkStart w:id="152" w:name="_Toc150293"/>
      <w:bookmarkStart w:id="153" w:name="_Toc1867357158"/>
      <w:bookmarkStart w:id="154" w:name="_Toc2067863075"/>
      <w:bookmarkStart w:id="155" w:name="_Toc1314298379"/>
      <w:bookmarkStart w:id="156" w:name="_Toc1649472674"/>
      <w:bookmarkStart w:id="157" w:name="_Toc1843699019"/>
      <w:bookmarkStart w:id="158" w:name="_Toc630362599"/>
      <w:bookmarkStart w:id="159" w:name="_Toc148844424"/>
      <w:bookmarkStart w:id="160" w:name="_Toc1182110040"/>
      <w:bookmarkStart w:id="161" w:name="_Toc210801220"/>
      <w:bookmarkStart w:id="162" w:name="_Toc1348206838"/>
      <w:bookmarkStart w:id="163" w:name="_Toc1822300643"/>
      <w:bookmarkStart w:id="164" w:name="_Toc146934973"/>
      <w:bookmarkStart w:id="165" w:name="_Toc532425878"/>
      <w:bookmarkStart w:id="166" w:name="_Toc747594511"/>
      <w:bookmarkStart w:id="167" w:name="_Toc1807325326"/>
      <w:bookmarkStart w:id="168" w:name="_Toc2080055409"/>
      <w:bookmarkStart w:id="169" w:name="_Toc1374394796"/>
      <w:bookmarkStart w:id="170" w:name="_Toc236168559"/>
      <w:bookmarkStart w:id="171" w:name="_Toc209586233"/>
      <w:bookmarkStart w:id="172" w:name="_Toc1218745791"/>
      <w:bookmarkStart w:id="173" w:name="_Toc1231914289"/>
      <w:bookmarkStart w:id="174" w:name="_Toc254945872"/>
      <w:bookmarkStart w:id="175" w:name="_Toc582527876"/>
      <w:bookmarkStart w:id="176" w:name="_Toc917640320"/>
      <w:bookmarkStart w:id="177" w:name="_Toc1766182915"/>
      <w:bookmarkStart w:id="178" w:name="_Toc1546706720"/>
      <w:bookmarkStart w:id="179" w:name="_Toc377446303"/>
      <w:bookmarkStart w:id="180" w:name="_Toc838414000"/>
      <w:bookmarkStart w:id="181" w:name="_Toc844360843"/>
      <w:bookmarkStart w:id="182" w:name="_Toc1762775439"/>
      <w:bookmarkStart w:id="183" w:name="_Toc370658061"/>
      <w:bookmarkStart w:id="184" w:name="_Toc1242699944"/>
      <w:bookmarkStart w:id="185" w:name="_Toc736466183"/>
      <w:bookmarkStart w:id="186" w:name="_Toc2145304550"/>
      <w:bookmarkStart w:id="187" w:name="_Toc1560662750"/>
      <w:bookmarkStart w:id="188" w:name="_Toc935573747"/>
      <w:bookmarkStart w:id="189" w:name="_Toc829292518"/>
      <w:bookmarkStart w:id="190" w:name="_Toc303291256"/>
      <w:bookmarkStart w:id="191" w:name="_Toc199764509"/>
      <w:bookmarkStart w:id="192" w:name="_Toc152797951"/>
      <w:bookmarkStart w:id="193" w:name="_Toc1855246173"/>
      <w:bookmarkStart w:id="194" w:name="_Toc636094702"/>
      <w:bookmarkStart w:id="195" w:name="_Toc686106997"/>
      <w:bookmarkStart w:id="196" w:name="_Toc239862882"/>
      <w:r w:rsidRPr="0041421A">
        <w:rPr>
          <w:rFonts w:eastAsia="Georgia"/>
          <w:b/>
          <w:bCs/>
          <w:color w:val="1F3A5F"/>
        </w:rPr>
        <w:t>Overview of Task Force Approach and Process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14:paraId="7EC29689" w14:textId="77777777" w:rsidR="00883728" w:rsidRPr="00A83026" w:rsidRDefault="00883728" w:rsidP="00A83026">
      <w:pPr>
        <w:spacing w:after="240"/>
        <w:outlineLvl w:val="2"/>
        <w:rPr>
          <w:b/>
          <w:color w:val="2E74B5"/>
        </w:rPr>
      </w:pPr>
      <w:bookmarkStart w:id="197" w:name="_Toc1067675352"/>
      <w:bookmarkStart w:id="198" w:name="_Toc1913687292"/>
      <w:bookmarkStart w:id="199" w:name="_Toc1044404339"/>
      <w:bookmarkStart w:id="200" w:name="_Toc1460510572"/>
      <w:bookmarkStart w:id="201" w:name="_Toc1242541115"/>
      <w:bookmarkStart w:id="202" w:name="_Toc1706186753"/>
      <w:bookmarkStart w:id="203" w:name="_Toc874370961"/>
      <w:bookmarkStart w:id="204" w:name="_Toc1216142352"/>
      <w:bookmarkStart w:id="205" w:name="_Toc1913489901"/>
      <w:bookmarkStart w:id="206" w:name="_Toc962093832"/>
      <w:bookmarkStart w:id="207" w:name="_Toc436650982"/>
      <w:bookmarkStart w:id="208" w:name="_Toc1237551807"/>
      <w:bookmarkStart w:id="209" w:name="_Toc1890449293"/>
      <w:bookmarkStart w:id="210" w:name="_Toc660487122"/>
      <w:bookmarkStart w:id="211" w:name="_Toc341747662"/>
      <w:bookmarkStart w:id="212" w:name="_Toc1282330496"/>
      <w:bookmarkStart w:id="213" w:name="_Toc568894813"/>
      <w:bookmarkStart w:id="214" w:name="_Toc450785205"/>
      <w:bookmarkStart w:id="215" w:name="_Toc1894944256"/>
      <w:bookmarkStart w:id="216" w:name="_Toc597579146"/>
      <w:bookmarkStart w:id="217" w:name="_Toc689410334"/>
      <w:bookmarkStart w:id="218" w:name="_Toc1061261375"/>
      <w:bookmarkStart w:id="219" w:name="_Toc1872593600"/>
      <w:bookmarkStart w:id="220" w:name="_Toc547821345"/>
      <w:bookmarkStart w:id="221" w:name="_Toc1175211517"/>
      <w:bookmarkStart w:id="222" w:name="_Toc817599448"/>
      <w:bookmarkStart w:id="223" w:name="_Toc256885528"/>
      <w:bookmarkStart w:id="224" w:name="_Toc1297565592"/>
      <w:bookmarkStart w:id="225" w:name="_Toc1325234938"/>
      <w:bookmarkStart w:id="226" w:name="_Toc1742100172"/>
      <w:bookmarkStart w:id="227" w:name="_Toc1400045637"/>
      <w:bookmarkStart w:id="228" w:name="_Toc699294572"/>
      <w:bookmarkStart w:id="229" w:name="_Toc1499412595"/>
      <w:bookmarkStart w:id="230" w:name="_Toc227270783"/>
      <w:bookmarkStart w:id="231" w:name="_Toc1285208098"/>
      <w:bookmarkStart w:id="232" w:name="_Toc773804801"/>
      <w:bookmarkStart w:id="233" w:name="_Toc737285906"/>
      <w:bookmarkStart w:id="234" w:name="_Toc976745632"/>
      <w:bookmarkStart w:id="235" w:name="_Toc1003785463"/>
      <w:bookmarkStart w:id="236" w:name="_Toc1685375625"/>
      <w:bookmarkStart w:id="237" w:name="_Toc1955111599"/>
      <w:bookmarkStart w:id="238" w:name="_Toc1603257486"/>
      <w:bookmarkStart w:id="239" w:name="_Toc1241220815"/>
      <w:bookmarkStart w:id="240" w:name="_Toc333915848"/>
      <w:bookmarkStart w:id="241" w:name="_Toc574020025"/>
      <w:bookmarkStart w:id="242" w:name="_Toc331837701"/>
      <w:bookmarkStart w:id="243" w:name="_Toc1144773342"/>
      <w:bookmarkStart w:id="244" w:name="_Toc1148928292"/>
      <w:bookmarkStart w:id="245" w:name="_Toc239862883"/>
      <w:r w:rsidRPr="00A83026">
        <w:rPr>
          <w:b/>
          <w:color w:val="2E74B5"/>
        </w:rPr>
        <w:t>Scope of Task Force Efforts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14:paraId="16C28A0E" w14:textId="72F9427A" w:rsidR="003D5617" w:rsidRDefault="00883728" w:rsidP="00A83026">
      <w:pPr>
        <w:spacing w:after="240"/>
      </w:pPr>
      <w:r w:rsidRPr="00FF3A5E">
        <w:t xml:space="preserve">To develop the strategy and recommendations that follow, the Task Force pursued a multi-pronged fact-finding process. </w:t>
      </w:r>
      <w:r w:rsidR="003D5617">
        <w:t xml:space="preserve">The Task Force was </w:t>
      </w:r>
      <w:r w:rsidR="009C6EBE">
        <w:t>supported by staff from the Chief Energy Office and Virginia Department of Energy</w:t>
      </w:r>
      <w:r w:rsidR="003D5617">
        <w:t xml:space="preserve">. Deloitte was engaged to support Task Force research and report, and the </w:t>
      </w:r>
      <w:r w:rsidR="009A5A7A">
        <w:t>Energy Policy Design Institute</w:t>
      </w:r>
      <w:r w:rsidR="003D5617">
        <w:t xml:space="preserve"> (EPDI) was engaged for insight on designing VPP policies in line with national best practice from EPDI’s VPP Convergence Project</w:t>
      </w:r>
      <w:r w:rsidR="009A5A7A">
        <w:t>.</w:t>
      </w:r>
      <w:r w:rsidR="004A576F">
        <w:t xml:space="preserve"> </w:t>
      </w:r>
    </w:p>
    <w:p w14:paraId="0A1613C3" w14:textId="192DB309" w:rsidR="00883728" w:rsidRPr="00FF3A5E" w:rsidRDefault="004A576F" w:rsidP="00A83026">
      <w:pPr>
        <w:spacing w:after="240"/>
      </w:pPr>
      <w:r>
        <w:t xml:space="preserve">Key sources of input included Task Force member expertise during meetings, follow-up </w:t>
      </w:r>
      <w:r w:rsidR="00ED0E3B">
        <w:t xml:space="preserve">written member </w:t>
      </w:r>
      <w:r>
        <w:t>input</w:t>
      </w:r>
      <w:r w:rsidR="00040254">
        <w:t xml:space="preserve"> and white papers, </w:t>
      </w:r>
      <w:r>
        <w:t xml:space="preserve">and one-on-one </w:t>
      </w:r>
      <w:r w:rsidR="00ED0E3B">
        <w:t xml:space="preserve">member </w:t>
      </w:r>
      <w:r>
        <w:t>discussions</w:t>
      </w:r>
      <w:r w:rsidR="00ED0E3B">
        <w:t>;</w:t>
      </w:r>
      <w:r w:rsidR="00F30F6C">
        <w:t xml:space="preserve"> </w:t>
      </w:r>
      <w:r w:rsidR="00040254">
        <w:t>engagement with SCC</w:t>
      </w:r>
      <w:r w:rsidR="00316203">
        <w:t xml:space="preserve">, utilities, and cooperatives; </w:t>
      </w:r>
      <w:r w:rsidR="00AD6B7E">
        <w:t xml:space="preserve">input from </w:t>
      </w:r>
      <w:r w:rsidR="00E71321">
        <w:t>national expert</w:t>
      </w:r>
      <w:r w:rsidR="00AD6B7E">
        <w:t>s</w:t>
      </w:r>
      <w:r w:rsidR="00DA3828">
        <w:t xml:space="preserve"> </w:t>
      </w:r>
      <w:r w:rsidR="00C77E04">
        <w:t>(including on interconnection, FERC 2222, and VPP policy design);</w:t>
      </w:r>
      <w:r w:rsidR="003D5617">
        <w:t xml:space="preserve"> </w:t>
      </w:r>
      <w:r w:rsidR="00E71321">
        <w:t>lessons from other states</w:t>
      </w:r>
      <w:r w:rsidR="00C77E04">
        <w:t xml:space="preserve"> (</w:t>
      </w:r>
      <w:r w:rsidR="00E71321">
        <w:t>including direct engagement with New York and Massachusetts</w:t>
      </w:r>
      <w:r w:rsidR="00C77E04">
        <w:t>)</w:t>
      </w:r>
      <w:r w:rsidR="00E71321">
        <w:t xml:space="preserve">; </w:t>
      </w:r>
      <w:r w:rsidR="007030DD">
        <w:t xml:space="preserve">public </w:t>
      </w:r>
      <w:r w:rsidR="009D0484">
        <w:t>stakeholder and DER industry input</w:t>
      </w:r>
      <w:r w:rsidR="00467371">
        <w:t>;</w:t>
      </w:r>
      <w:r w:rsidR="00222596">
        <w:rPr>
          <w:rStyle w:val="FootnoteReference"/>
        </w:rPr>
        <w:footnoteReference w:id="3"/>
      </w:r>
      <w:r w:rsidR="00467371">
        <w:t xml:space="preserve"> and </w:t>
      </w:r>
      <w:r w:rsidR="00883728" w:rsidRPr="00FF3A5E">
        <w:t>reports and case studies to identify leading practices already in use elsewhere.</w:t>
      </w:r>
    </w:p>
    <w:p w14:paraId="0A428B43" w14:textId="69C65BD1" w:rsidR="00883728" w:rsidRPr="0041421A" w:rsidRDefault="00883728" w:rsidP="0077648F">
      <w:pPr>
        <w:spacing w:after="240"/>
      </w:pPr>
      <w:r w:rsidRPr="00FF3A5E">
        <w:t>The Task Force's review also drew on national guidance written specifically for state policymakers and regulators including a joint primer on aggregated DER compensation from the National Association of Regulatory Utility Commissioners and the National Association of State Energy Officials</w:t>
      </w:r>
      <w:r w:rsidRPr="00FF3A5E">
        <w:rPr>
          <w:vertAlign w:val="superscript"/>
        </w:rPr>
        <w:footnoteReference w:id="4"/>
      </w:r>
      <w:r w:rsidRPr="00FF3A5E">
        <w:t xml:space="preserve"> and the Pew Charitable Trusts' distributed energy policy playbook.</w:t>
      </w:r>
      <w:r w:rsidRPr="00FF3A5E">
        <w:rPr>
          <w:vertAlign w:val="superscript"/>
        </w:rPr>
        <w:footnoteReference w:id="5"/>
      </w:r>
    </w:p>
    <w:p w14:paraId="1C8370F9" w14:textId="77777777" w:rsidR="005D6CE7" w:rsidRPr="0041421A" w:rsidRDefault="00995D1A" w:rsidP="00160BBE">
      <w:pPr>
        <w:pStyle w:val="Heading2"/>
        <w:spacing w:after="160"/>
        <w:rPr>
          <w:rFonts w:eastAsia="Georgia"/>
          <w:b/>
          <w:color w:val="1F3A5F"/>
        </w:rPr>
      </w:pPr>
      <w:bookmarkStart w:id="246" w:name="_Toc1612636108"/>
      <w:bookmarkStart w:id="247" w:name="_Toc64278814"/>
      <w:bookmarkStart w:id="248" w:name="_Toc1685605074"/>
      <w:bookmarkStart w:id="249" w:name="_Toc980670180"/>
      <w:bookmarkStart w:id="250" w:name="_Toc495957688"/>
      <w:bookmarkStart w:id="251" w:name="_Toc1150359146"/>
      <w:bookmarkStart w:id="252" w:name="_Toc1018546277"/>
      <w:bookmarkStart w:id="253" w:name="_Toc1320730347"/>
      <w:bookmarkStart w:id="254" w:name="_Toc89399982"/>
      <w:bookmarkStart w:id="255" w:name="_Toc516953150"/>
      <w:bookmarkStart w:id="256" w:name="_Toc946784160"/>
      <w:bookmarkStart w:id="257" w:name="_Toc1798731218"/>
      <w:bookmarkStart w:id="258" w:name="_Toc427383459"/>
      <w:bookmarkStart w:id="259" w:name="_Toc1365151284"/>
      <w:bookmarkStart w:id="260" w:name="_Toc899863730"/>
      <w:bookmarkStart w:id="261" w:name="_Toc238378160"/>
      <w:bookmarkStart w:id="262" w:name="_Toc812956646"/>
      <w:bookmarkStart w:id="263" w:name="_Toc793026115"/>
      <w:bookmarkStart w:id="264" w:name="_Toc1524741521"/>
      <w:bookmarkStart w:id="265" w:name="_Toc2016488936"/>
      <w:bookmarkStart w:id="266" w:name="_Toc941150151"/>
      <w:bookmarkStart w:id="267" w:name="_Toc394705850"/>
      <w:bookmarkStart w:id="268" w:name="_Toc788889530"/>
      <w:bookmarkStart w:id="269" w:name="_Toc1133931626"/>
      <w:bookmarkStart w:id="270" w:name="_Toc5431594"/>
      <w:bookmarkStart w:id="271" w:name="_Toc449996577"/>
      <w:bookmarkStart w:id="272" w:name="_Toc1027419426"/>
      <w:bookmarkStart w:id="273" w:name="_Toc773461318"/>
      <w:bookmarkStart w:id="274" w:name="_Toc1914640454"/>
      <w:bookmarkStart w:id="275" w:name="_Toc2042621928"/>
      <w:bookmarkStart w:id="276" w:name="_Toc102981935"/>
      <w:bookmarkStart w:id="277" w:name="_Toc1676142910"/>
      <w:bookmarkStart w:id="278" w:name="_Toc1611396359"/>
      <w:bookmarkStart w:id="279" w:name="_Toc1502726944"/>
      <w:bookmarkStart w:id="280" w:name="_Toc334527850"/>
      <w:bookmarkStart w:id="281" w:name="_Toc1671256652"/>
      <w:bookmarkStart w:id="282" w:name="_Toc1785052826"/>
      <w:bookmarkStart w:id="283" w:name="_Toc1843519081"/>
      <w:bookmarkStart w:id="284" w:name="_Toc1126024517"/>
      <w:bookmarkStart w:id="285" w:name="_Toc1325404851"/>
      <w:bookmarkStart w:id="286" w:name="_Toc1652653854"/>
      <w:bookmarkStart w:id="287" w:name="_Toc709761182"/>
      <w:bookmarkStart w:id="288" w:name="_Toc1225691198"/>
      <w:bookmarkStart w:id="289" w:name="_Toc1658992346"/>
      <w:bookmarkStart w:id="290" w:name="_Toc1099978083"/>
      <w:bookmarkStart w:id="291" w:name="_Toc506569005"/>
      <w:bookmarkStart w:id="292" w:name="_Toc642781496"/>
      <w:bookmarkStart w:id="293" w:name="_Toc532151025"/>
      <w:bookmarkStart w:id="294" w:name="_Toc239862884"/>
      <w:r w:rsidRPr="0041421A">
        <w:rPr>
          <w:rFonts w:eastAsia="Georgia"/>
          <w:b/>
          <w:bCs/>
          <w:color w:val="1F3A5F"/>
        </w:rPr>
        <w:t>2.3 Purpose and Contents of this Report</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tbl>
      <w:tblPr>
        <w:tblW w:w="5000" w:type="pct"/>
        <w:tblBorders>
          <w:top w:val="single" w:sz="4" w:space="0" w:color="C6CDD4"/>
          <w:left w:val="single" w:sz="4" w:space="0" w:color="C6CDD4"/>
          <w:bottom w:val="single" w:sz="4" w:space="0" w:color="C6CDD4"/>
          <w:right w:val="single" w:sz="4" w:space="0" w:color="C6CDD4"/>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5D6CE7" w:rsidRPr="0041421A" w14:paraId="13D12F75" w14:textId="77777777">
        <w:tc>
          <w:tcPr>
            <w:tcW w:w="0" w:type="auto"/>
            <w:shd w:val="clear" w:color="auto" w:fill="E9ECEF"/>
            <w:tcMar>
              <w:top w:w="160" w:type="dxa"/>
              <w:left w:w="200" w:type="dxa"/>
              <w:bottom w:w="160" w:type="dxa"/>
              <w:right w:w="200" w:type="dxa"/>
            </w:tcMar>
          </w:tcPr>
          <w:p w14:paraId="7991B700" w14:textId="77777777" w:rsidR="005D6CE7" w:rsidRPr="0041421A" w:rsidRDefault="00995D1A" w:rsidP="00160BBE">
            <w:pPr>
              <w:spacing w:after="80"/>
            </w:pPr>
            <w:r w:rsidRPr="0041421A">
              <w:rPr>
                <w:b/>
                <w:bCs/>
                <w:color w:val="1F3A5F"/>
                <w:sz w:val="19"/>
                <w:szCs w:val="19"/>
              </w:rPr>
              <w:t>TO BE DEVELOPED</w:t>
            </w:r>
          </w:p>
          <w:p w14:paraId="66268431" w14:textId="77777777" w:rsidR="005D6CE7" w:rsidRPr="0041421A" w:rsidRDefault="00995D1A" w:rsidP="00160BBE">
            <w:pPr>
              <w:spacing w:after="80"/>
            </w:pPr>
            <w:r w:rsidRPr="0041421A">
              <w:rPr>
                <w:color w:val="3D4A5C"/>
                <w:sz w:val="20"/>
                <w:szCs w:val="20"/>
              </w:rPr>
              <w:t>• One-paragraph statement of the report's purpose and intended audience (Governor, General Assembly, SCC, public)</w:t>
            </w:r>
          </w:p>
          <w:p w14:paraId="6EAA3C1E" w14:textId="77777777" w:rsidR="005D6CE7" w:rsidRPr="0041421A" w:rsidRDefault="00995D1A" w:rsidP="00160BBE">
            <w:r w:rsidRPr="0041421A">
              <w:rPr>
                <w:color w:val="3D4A5C"/>
                <w:sz w:val="20"/>
                <w:szCs w:val="20"/>
              </w:rPr>
              <w:t>• Roadmap paragraph summarizing Sections 3 through 8</w:t>
            </w:r>
          </w:p>
        </w:tc>
      </w:tr>
    </w:tbl>
    <w:p w14:paraId="5B1645FD" w14:textId="77777777" w:rsidR="005D6CE7" w:rsidRPr="0041421A" w:rsidRDefault="00995D1A" w:rsidP="00160BBE">
      <w:pPr>
        <w:pStyle w:val="Heading2"/>
        <w:spacing w:after="160"/>
        <w:rPr>
          <w:rFonts w:eastAsia="Georgia"/>
          <w:b/>
          <w:color w:val="1F3A5F"/>
        </w:rPr>
      </w:pPr>
      <w:bookmarkStart w:id="295" w:name="_Toc1445516293"/>
      <w:bookmarkStart w:id="296" w:name="_Toc1977077381"/>
      <w:bookmarkStart w:id="297" w:name="_Toc1750297769"/>
      <w:bookmarkStart w:id="298" w:name="_Toc1590143636"/>
      <w:bookmarkStart w:id="299" w:name="_Toc1754826454"/>
      <w:bookmarkStart w:id="300" w:name="_Toc361353909"/>
      <w:bookmarkStart w:id="301" w:name="_Toc1700338276"/>
      <w:bookmarkStart w:id="302" w:name="_Toc228999310"/>
      <w:bookmarkStart w:id="303" w:name="_Toc1975107505"/>
      <w:bookmarkStart w:id="304" w:name="_Toc1315062073"/>
      <w:bookmarkStart w:id="305" w:name="_Toc77910854"/>
      <w:bookmarkStart w:id="306" w:name="_Toc764228659"/>
      <w:bookmarkStart w:id="307" w:name="_Toc413116573"/>
      <w:bookmarkStart w:id="308" w:name="_Toc307170295"/>
      <w:bookmarkStart w:id="309" w:name="_Toc879251220"/>
      <w:bookmarkStart w:id="310" w:name="_Toc827534937"/>
      <w:bookmarkStart w:id="311" w:name="_Toc188640908"/>
      <w:bookmarkStart w:id="312" w:name="_Toc1819265719"/>
      <w:bookmarkStart w:id="313" w:name="_Toc1390341699"/>
      <w:bookmarkStart w:id="314" w:name="_Toc611900108"/>
      <w:bookmarkStart w:id="315" w:name="_Toc1491001915"/>
      <w:bookmarkStart w:id="316" w:name="_Toc274275778"/>
      <w:bookmarkStart w:id="317" w:name="_Toc1310470984"/>
      <w:bookmarkStart w:id="318" w:name="_Toc1647615772"/>
      <w:bookmarkStart w:id="319" w:name="_Toc1054121003"/>
      <w:bookmarkStart w:id="320" w:name="_Toc1972541652"/>
      <w:bookmarkStart w:id="321" w:name="_Toc1700796348"/>
      <w:bookmarkStart w:id="322" w:name="_Toc992884569"/>
      <w:bookmarkStart w:id="323" w:name="_Toc943344062"/>
      <w:bookmarkStart w:id="324" w:name="_Toc456815539"/>
      <w:bookmarkStart w:id="325" w:name="_Toc144439982"/>
      <w:bookmarkStart w:id="326" w:name="_Toc2076750974"/>
      <w:bookmarkStart w:id="327" w:name="_Toc1894104909"/>
      <w:bookmarkStart w:id="328" w:name="_Toc1203995577"/>
      <w:bookmarkStart w:id="329" w:name="_Toc32604369"/>
      <w:bookmarkStart w:id="330" w:name="_Toc816640145"/>
      <w:bookmarkStart w:id="331" w:name="_Toc1259197965"/>
      <w:bookmarkStart w:id="332" w:name="_Toc1071188185"/>
      <w:bookmarkStart w:id="333" w:name="_Toc667322517"/>
      <w:bookmarkStart w:id="334" w:name="_Toc2078825179"/>
      <w:bookmarkStart w:id="335" w:name="_Toc43787512"/>
      <w:bookmarkStart w:id="336" w:name="_Toc1604532504"/>
      <w:bookmarkStart w:id="337" w:name="_Toc726350120"/>
      <w:bookmarkStart w:id="338" w:name="_Toc1773862416"/>
      <w:bookmarkStart w:id="339" w:name="_Toc483621108"/>
      <w:bookmarkStart w:id="340" w:name="_Toc1646516706"/>
      <w:bookmarkStart w:id="341" w:name="_Toc1884335759"/>
      <w:bookmarkStart w:id="342" w:name="_Toc1666044249"/>
      <w:bookmarkStart w:id="343" w:name="_Toc239862885"/>
      <w:r w:rsidRPr="0041421A">
        <w:rPr>
          <w:rFonts w:eastAsia="Georgia"/>
          <w:b/>
          <w:bCs/>
          <w:color w:val="1F3A5F"/>
        </w:rPr>
        <w:t>2.4 Definitions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0087D461" w14:textId="77777777" w:rsidR="005D6CE7" w:rsidRDefault="00995D1A" w:rsidP="00160BBE">
      <w:pPr>
        <w:pStyle w:val="Heading3"/>
        <w:spacing w:after="120"/>
        <w:rPr>
          <w:rFonts w:eastAsia="Georgia"/>
          <w:b/>
          <w:color w:val="3D4A5C"/>
          <w:sz w:val="23"/>
          <w:szCs w:val="23"/>
        </w:rPr>
      </w:pPr>
      <w:bookmarkStart w:id="344" w:name="_Toc1818349258"/>
      <w:bookmarkStart w:id="345" w:name="_Toc1243595045"/>
      <w:bookmarkStart w:id="346" w:name="_Toc1877678444"/>
      <w:bookmarkStart w:id="347" w:name="_Toc246900425"/>
      <w:bookmarkStart w:id="348" w:name="_Toc982403868"/>
      <w:bookmarkStart w:id="349" w:name="_Toc874562400"/>
      <w:bookmarkStart w:id="350" w:name="_Toc1366468965"/>
      <w:bookmarkStart w:id="351" w:name="_Toc1881172534"/>
      <w:bookmarkStart w:id="352" w:name="_Toc829086581"/>
      <w:bookmarkStart w:id="353" w:name="_Toc1086635721"/>
      <w:bookmarkStart w:id="354" w:name="_Toc1937301270"/>
      <w:bookmarkStart w:id="355" w:name="_Toc454432325"/>
      <w:bookmarkStart w:id="356" w:name="_Toc1282870578"/>
      <w:bookmarkStart w:id="357" w:name="_Toc464994929"/>
      <w:bookmarkStart w:id="358" w:name="_Toc269994876"/>
      <w:bookmarkStart w:id="359" w:name="_Toc1128364391"/>
      <w:bookmarkStart w:id="360" w:name="_Toc1083369455"/>
      <w:bookmarkStart w:id="361" w:name="_Toc773994642"/>
      <w:bookmarkStart w:id="362" w:name="_Toc228649471"/>
      <w:bookmarkStart w:id="363" w:name="_Toc577563297"/>
      <w:bookmarkStart w:id="364" w:name="_Toc1756160081"/>
      <w:bookmarkStart w:id="365" w:name="_Toc1090833925"/>
      <w:bookmarkStart w:id="366" w:name="_Toc1194250830"/>
      <w:bookmarkStart w:id="367" w:name="_Toc700461210"/>
      <w:bookmarkStart w:id="368" w:name="_Toc944084800"/>
      <w:bookmarkStart w:id="369" w:name="_Toc1608644001"/>
      <w:bookmarkStart w:id="370" w:name="_Toc1607685264"/>
      <w:bookmarkStart w:id="371" w:name="_Toc983679789"/>
      <w:bookmarkStart w:id="372" w:name="_Toc1407449050"/>
      <w:bookmarkStart w:id="373" w:name="_Toc557922667"/>
      <w:bookmarkStart w:id="374" w:name="_Toc1602567309"/>
      <w:bookmarkStart w:id="375" w:name="_Toc852705014"/>
      <w:bookmarkStart w:id="376" w:name="_Toc1072222185"/>
      <w:bookmarkStart w:id="377" w:name="_Toc1770322413"/>
      <w:bookmarkStart w:id="378" w:name="_Toc1772848710"/>
      <w:bookmarkStart w:id="379" w:name="_Toc94999469"/>
      <w:bookmarkStart w:id="380" w:name="_Toc1872690828"/>
      <w:bookmarkStart w:id="381" w:name="_Toc867320351"/>
      <w:bookmarkStart w:id="382" w:name="_Toc1001813810"/>
      <w:bookmarkStart w:id="383" w:name="_Toc1577528052"/>
      <w:bookmarkStart w:id="384" w:name="_Toc2015188998"/>
      <w:bookmarkStart w:id="385" w:name="_Toc1199912409"/>
      <w:bookmarkStart w:id="386" w:name="_Toc1962005954"/>
      <w:bookmarkStart w:id="387" w:name="_Toc426112824"/>
      <w:bookmarkStart w:id="388" w:name="_Toc791671687"/>
      <w:bookmarkStart w:id="389" w:name="_Toc71357197"/>
      <w:bookmarkStart w:id="390" w:name="_Toc246195856"/>
      <w:bookmarkStart w:id="391" w:name="_Toc1666297106"/>
      <w:bookmarkStart w:id="392" w:name="_Toc239862886"/>
      <w:r w:rsidRPr="0041421A">
        <w:rPr>
          <w:rFonts w:eastAsia="Georgia"/>
          <w:b/>
          <w:bCs/>
          <w:color w:val="3D4A5C"/>
          <w:sz w:val="23"/>
          <w:szCs w:val="23"/>
        </w:rPr>
        <w:t>2.4.1 DERs vs. VPPs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29622706" w14:textId="0969BF02" w:rsidR="005B6B1C" w:rsidRDefault="005B6B1C" w:rsidP="005B6B1C">
      <w:pPr>
        <w:spacing w:after="200"/>
      </w:pPr>
      <w:r>
        <w:t>For purposes of this report, the Task Force grounds its working definitions of “distributed energy resource” and “virtual power plant” in Virginia's existing statutory framework, specifically, the definitions the General Assembly already enacted for the Commonwealth's virtual power plant pilot program. These characterizations are supplemented by the broader federal definition that will govern how Virginia DERs interact with PJM's wholesale markets under FERC Order 2222.</w:t>
      </w:r>
    </w:p>
    <w:p w14:paraId="357FEA58" w14:textId="2CC8B5B7" w:rsidR="005B6B1C" w:rsidRDefault="005B6B1C" w:rsidP="005B6B1C">
      <w:pPr>
        <w:spacing w:after="120"/>
      </w:pPr>
      <w:r>
        <w:rPr>
          <w:b/>
          <w:bCs/>
        </w:rPr>
        <w:t xml:space="preserve">Distributed Energy Resource (DER): </w:t>
      </w:r>
      <w:r>
        <w:t xml:space="preserve">Virginia law defines a distributed energy resource </w:t>
      </w:r>
      <w:r w:rsidR="00053555">
        <w:t>as</w:t>
      </w:r>
      <w:r>
        <w:t xml:space="preserve"> “a resource of up to five megawatts that is located on the customer's premises or is interconnected with the distribution system and produces or stores electricity or modifies the timing or amount of a customer's electricity consumption.”</w:t>
      </w:r>
      <w:r>
        <w:rPr>
          <w:rStyle w:val="FootnoteReference"/>
        </w:rPr>
        <w:footnoteReference w:id="6"/>
      </w:r>
      <w:r>
        <w:t xml:space="preserve"> </w:t>
      </w:r>
      <w:r w:rsidR="00207EC3">
        <w:t>T</w:t>
      </w:r>
      <w:r>
        <w:t xml:space="preserve">he Task Force </w:t>
      </w:r>
      <w:r w:rsidR="00082380">
        <w:t>acknowledges</w:t>
      </w:r>
      <w:r>
        <w:t xml:space="preserve"> that this definition is narrower than the one that will govern wholesale</w:t>
      </w:r>
      <w:r w:rsidR="0069742E">
        <w:t xml:space="preserve"> </w:t>
      </w:r>
      <w:r>
        <w:t>market participation under FERC Order No. 2222</w:t>
      </w:r>
      <w:r w:rsidR="00CB2D49">
        <w:t xml:space="preserve"> (e.g.,</w:t>
      </w:r>
      <w:r w:rsidR="00925EFC">
        <w:t xml:space="preserve"> FERC’s definition includes systems over 5 MW)</w:t>
      </w:r>
      <w:r w:rsidR="00753AEC">
        <w:t>; however,</w:t>
      </w:r>
      <w:r w:rsidR="00492A80">
        <w:t xml:space="preserve"> </w:t>
      </w:r>
      <w:r w:rsidR="00945E71">
        <w:t>to maintain</w:t>
      </w:r>
      <w:r w:rsidR="00E22DF5">
        <w:t xml:space="preserve"> consistency</w:t>
      </w:r>
      <w:r w:rsidR="00B35522">
        <w:t xml:space="preserve"> between </w:t>
      </w:r>
      <w:r w:rsidR="00CB4E28">
        <w:t>the Task Force’s recommended actions</w:t>
      </w:r>
      <w:r w:rsidR="00D83F6A">
        <w:t xml:space="preserve"> and Virginia Law, the Commonwealth’s definition </w:t>
      </w:r>
      <w:r w:rsidR="00824D6F">
        <w:t>is used</w:t>
      </w:r>
      <w:r w:rsidR="008F6B50">
        <w:t xml:space="preserve"> in this report</w:t>
      </w:r>
      <w:r w:rsidDel="00753AEC">
        <w:t>.</w:t>
      </w:r>
      <w:r>
        <w:rPr>
          <w:rStyle w:val="FootnoteReference"/>
        </w:rPr>
        <w:footnoteReference w:id="7"/>
      </w:r>
    </w:p>
    <w:p w14:paraId="074E11A8" w14:textId="77777777" w:rsidR="005B6B1C" w:rsidRDefault="005B6B1C" w:rsidP="005B6B1C">
      <w:pPr>
        <w:spacing w:after="200"/>
      </w:pPr>
      <w:r>
        <w:rPr>
          <w:b/>
          <w:bCs/>
        </w:rPr>
        <w:t xml:space="preserve">Virtual Power Plant (VPP): </w:t>
      </w:r>
      <w:r>
        <w:t>Virginia law defines a virtual power plant as “an aggregation of distributed energy resources, enrolled either directly with an electric utility or indirectly through an aggregator, that are operated in coordination to provide one or more grid services,” where “grid service” means “a capacity, energy, or ancillary service that supports grid operations.”</w:t>
      </w:r>
      <w:r>
        <w:rPr>
          <w:rStyle w:val="FootnoteReference"/>
        </w:rPr>
        <w:footnoteReference w:id="8"/>
      </w:r>
      <w:r>
        <w:t xml:space="preserve"> This definition is both Virginia's own statutory language and already tied to the specific pilot program (Dominion's 450 MW aggregation, authorized under the same section) that is being used as Virginia's near-term testing ground.</w:t>
      </w:r>
      <w:r>
        <w:rPr>
          <w:rStyle w:val="FootnoteReference"/>
        </w:rPr>
        <w:footnoteReference w:id="9"/>
      </w:r>
    </w:p>
    <w:p w14:paraId="63962B5B" w14:textId="7BDD430E" w:rsidR="008B5B50" w:rsidRDefault="00C75538" w:rsidP="00A83026">
      <w:pPr>
        <w:pStyle w:val="Heading3"/>
        <w:spacing w:after="120"/>
        <w:rPr>
          <w:rFonts w:eastAsia="Georgia"/>
          <w:b/>
          <w:color w:val="3D4A5C"/>
          <w:sz w:val="23"/>
          <w:szCs w:val="23"/>
        </w:rPr>
      </w:pPr>
      <w:bookmarkStart w:id="393" w:name="_Toc1186545595"/>
      <w:bookmarkStart w:id="394" w:name="_Toc1584494661"/>
      <w:bookmarkStart w:id="395" w:name="_Toc483478548"/>
      <w:bookmarkStart w:id="396" w:name="_Toc1772145902"/>
      <w:bookmarkStart w:id="397" w:name="_Toc1436061768"/>
      <w:bookmarkStart w:id="398" w:name="_Toc827855408"/>
      <w:bookmarkStart w:id="399" w:name="_Toc1463450410"/>
      <w:bookmarkStart w:id="400" w:name="_Toc1785315440"/>
      <w:bookmarkStart w:id="401" w:name="_Toc867290435"/>
      <w:bookmarkStart w:id="402" w:name="_Toc1213658367"/>
      <w:bookmarkStart w:id="403" w:name="_Toc1551134981"/>
      <w:bookmarkStart w:id="404" w:name="_Toc1474639751"/>
      <w:bookmarkStart w:id="405" w:name="_Toc568598206"/>
      <w:bookmarkStart w:id="406" w:name="_Toc1938314422"/>
      <w:bookmarkStart w:id="407" w:name="_Toc1192479572"/>
      <w:bookmarkStart w:id="408" w:name="_Toc1160328836"/>
      <w:bookmarkStart w:id="409" w:name="_Toc1298619402"/>
      <w:bookmarkStart w:id="410" w:name="_Toc1050838247"/>
      <w:bookmarkStart w:id="411" w:name="_Toc1887329073"/>
      <w:bookmarkStart w:id="412" w:name="_Toc2106901134"/>
      <w:bookmarkStart w:id="413" w:name="_Toc2002740346"/>
      <w:bookmarkStart w:id="414" w:name="_Toc1829106167"/>
      <w:bookmarkStart w:id="415" w:name="_Toc291749835"/>
      <w:bookmarkStart w:id="416" w:name="_Toc868055115"/>
      <w:bookmarkStart w:id="417" w:name="_Toc144366364"/>
      <w:bookmarkStart w:id="418" w:name="_Toc585362937"/>
      <w:bookmarkStart w:id="419" w:name="_Toc304461612"/>
      <w:bookmarkStart w:id="420" w:name="_Toc1375576204"/>
      <w:bookmarkStart w:id="421" w:name="_Toc1769109137"/>
      <w:bookmarkStart w:id="422" w:name="_Toc193879822"/>
      <w:bookmarkStart w:id="423" w:name="_Toc191360947"/>
      <w:bookmarkStart w:id="424" w:name="_Toc1173300473"/>
      <w:bookmarkStart w:id="425" w:name="_Toc531418560"/>
      <w:bookmarkStart w:id="426" w:name="_Toc512131485"/>
      <w:bookmarkStart w:id="427" w:name="_Toc1665138883"/>
      <w:bookmarkStart w:id="428" w:name="_Toc2111916779"/>
      <w:bookmarkStart w:id="429" w:name="_Toc868501223"/>
      <w:bookmarkStart w:id="430" w:name="_Toc1110452291"/>
      <w:bookmarkStart w:id="431" w:name="_Toc1692301354"/>
      <w:bookmarkStart w:id="432" w:name="_Toc157485838"/>
      <w:bookmarkStart w:id="433" w:name="_Toc625193101"/>
      <w:bookmarkStart w:id="434" w:name="_Toc1731210703"/>
      <w:bookmarkStart w:id="435" w:name="_Toc654140106"/>
      <w:bookmarkStart w:id="436" w:name="_Toc1348347150"/>
      <w:bookmarkStart w:id="437" w:name="_Toc399005316"/>
      <w:bookmarkStart w:id="438" w:name="_Toc1860155533"/>
      <w:bookmarkStart w:id="439" w:name="_Toc152435252"/>
      <w:bookmarkStart w:id="440" w:name="_Toc1730008558"/>
      <w:bookmarkStart w:id="441" w:name="_Toc239862887"/>
      <w:r w:rsidRPr="00A83026">
        <w:rPr>
          <w:rFonts w:eastAsia="Georgia"/>
          <w:b/>
          <w:color w:val="3D4A5C"/>
          <w:sz w:val="23"/>
          <w:szCs w:val="23"/>
        </w:rPr>
        <w:t xml:space="preserve">2.4.2 Definitions of </w:t>
      </w:r>
      <w:r w:rsidR="008B5B50" w:rsidRPr="00A83026">
        <w:rPr>
          <w:rFonts w:eastAsia="Georgia"/>
          <w:b/>
          <w:color w:val="3D4A5C"/>
          <w:sz w:val="23"/>
          <w:szCs w:val="23"/>
        </w:rPr>
        <w:t>Related Terms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14:paraId="130A2019" w14:textId="77777777" w:rsidR="008B5B50" w:rsidRDefault="008B5B50" w:rsidP="008B5B50">
      <w:pPr>
        <w:spacing w:after="200"/>
      </w:pPr>
      <w:r>
        <w:rPr>
          <w:b/>
          <w:bCs/>
        </w:rPr>
        <w:t xml:space="preserve">DER Aggregator: </w:t>
      </w:r>
      <w:r>
        <w:t>Virginia law defines an “aggregator” (in the VPP pilot context) as “an individual or entity, other than the electric utility, that enrolls customers in the pilot program and coordinates the operation of enrolled energy resources,” and specifies that an aggregator is not thereby considered an electric utility but must be given nondiscriminatory access to the customer and grid data it needs to participate.</w:t>
      </w:r>
      <w:r>
        <w:rPr>
          <w:rStyle w:val="FootnoteReference"/>
        </w:rPr>
        <w:footnoteReference w:id="10"/>
      </w:r>
      <w:r>
        <w:t xml:space="preserve"> At the federal level, FERC Order 2222 establishes “distributed energy resource aggregator” as a new category of wholesale market participant – an entity that aggregates one or more DERs to participate directly in RTO/ISO markets under one or more participation models FERC requires PJM and other grid operators to design.</w:t>
      </w:r>
      <w:r>
        <w:rPr>
          <w:rStyle w:val="FootnoteReference"/>
        </w:rPr>
        <w:footnoteReference w:id="11"/>
      </w:r>
    </w:p>
    <w:p w14:paraId="067E10FD" w14:textId="77777777" w:rsidR="008B5B50" w:rsidRDefault="008B5B50" w:rsidP="008B5B50">
      <w:pPr>
        <w:spacing w:after="200"/>
      </w:pPr>
      <w:r>
        <w:rPr>
          <w:b/>
          <w:bCs/>
        </w:rPr>
        <w:t xml:space="preserve">Microgrids: </w:t>
      </w:r>
      <w:r>
        <w:t>The U.S. Department of Energy defines a microgrid as “a group of interconnected loads and distributed energy resources within clearly defined electrical boundaries that acts as a single controllable entity with respect to the grid,” capable of operating either connected to the grid or “islanded” from it during an outage.</w:t>
      </w:r>
      <w:r>
        <w:rPr>
          <w:rStyle w:val="FootnoteReference"/>
        </w:rPr>
        <w:footnoteReference w:id="12"/>
      </w:r>
      <w:r>
        <w:t xml:space="preserve"> Microgrids are named separately from VPPs in the Task Force's enabling statute and, unlike a VPP, do not require aggregation across multiple customer sites (a single facility or campus can constitute a microgrid on its own).</w:t>
      </w:r>
    </w:p>
    <w:p w14:paraId="2D5E6C57" w14:textId="77777777" w:rsidR="008B5B50" w:rsidRDefault="008B5B50" w:rsidP="008B5B50">
      <w:pPr>
        <w:spacing w:after="120"/>
      </w:pPr>
      <w:r>
        <w:rPr>
          <w:b/>
          <w:bCs/>
        </w:rPr>
        <w:t xml:space="preserve">Community Resilience Hubs: </w:t>
      </w:r>
      <w:r>
        <w:t>A community resilience hub is generally understood as a community-serving facility such as a library, community center, school, or place of worship that is equipped (often via a microgrid or on-site DER) to remain powered during a grid outage and to serve as a gathering point for residents to charge devices, refrigerate medication, or access emergency information and services.</w:t>
      </w:r>
      <w:r>
        <w:rPr>
          <w:rStyle w:val="FootnoteReference"/>
        </w:rPr>
        <w:footnoteReference w:id="13"/>
      </w:r>
      <w:r>
        <w:t xml:space="preserve"> The term originated outside of state or federal government but has since been adopted operationally by FEMA, which funds resilience hub projects through its Building Resilient Infrastructure and Communities (BRIC) and Hazard Mitigation Grant Programs.</w:t>
      </w:r>
      <w:r>
        <w:rPr>
          <w:rStyle w:val="FootnoteReference"/>
        </w:rPr>
        <w:footnoteReference w:id="14"/>
      </w:r>
      <w:r>
        <w:t xml:space="preserve"> Community resilience hubs are named alongside microgrids in the Task Force's enabling statute as a technology area within scope.</w:t>
      </w:r>
    </w:p>
    <w:p w14:paraId="1A6F0273" w14:textId="77777777" w:rsidR="008B5B50" w:rsidRDefault="008B5B50" w:rsidP="008B5B50">
      <w:pPr>
        <w:spacing w:after="120"/>
      </w:pPr>
      <w:r>
        <w:rPr>
          <w:b/>
          <w:bCs/>
        </w:rPr>
        <w:t xml:space="preserve">Front-of-the-Meter (FTM) vs. Behind-the-Meter (BTM): </w:t>
      </w:r>
      <w:r>
        <w:t>This distinction describes where a resource sits relative to a customer's utility meter, and it is foundational to how DERs are valued and regulated. The U.S. Energy Information Administration describes behind-the-meter distributed generation as “onsite” generation on the customer's side of the meter which includes rooftop solar, on-site batteries, and similar customer-sited resources.</w:t>
      </w:r>
      <w:r>
        <w:rPr>
          <w:rStyle w:val="FootnoteReference"/>
        </w:rPr>
        <w:footnoteReference w:id="15"/>
      </w:r>
      <w:r>
        <w:t xml:space="preserve"> Front-of-the-meter resources, by contrast, are utility-scale generation and storage connected directly to the distribution or transmission system (such as conventional power plants, utility-scale solar farms, and grid-scale batteries) that deliver power to customers only after it passes through the customer's meter.</w:t>
      </w:r>
      <w:r>
        <w:rPr>
          <w:rStyle w:val="FootnoteReference"/>
        </w:rPr>
        <w:footnoteReference w:id="16"/>
      </w:r>
      <w:r>
        <w:t xml:space="preserve"> The distinction matters for this report because it is a key distinction between “DER Adoption” (largely BTM) and “DER Market Participation” (which can include both BTM aggregations and FTM resources) framework introduced in Section 3.3.</w:t>
      </w:r>
    </w:p>
    <w:p w14:paraId="2AF58E55" w14:textId="77777777" w:rsidR="005B6B1C" w:rsidRPr="0041421A" w:rsidRDefault="005B6B1C" w:rsidP="00A83026">
      <w:pPr>
        <w:spacing w:after="200"/>
      </w:pPr>
    </w:p>
    <w:p w14:paraId="32334D73" w14:textId="06FB3D2D" w:rsidR="005D6CE7" w:rsidRPr="0041421A" w:rsidRDefault="00995D1A" w:rsidP="00160BBE">
      <w:pPr>
        <w:pStyle w:val="Heading1"/>
        <w:pageBreakBefore/>
        <w:pBdr>
          <w:bottom w:val="single" w:sz="10" w:space="6" w:color="1F3A5F"/>
        </w:pBdr>
        <w:spacing w:after="240"/>
        <w:rPr>
          <w:rFonts w:eastAsia="Georgia"/>
          <w:b/>
          <w:color w:val="1F3A5F"/>
        </w:rPr>
      </w:pPr>
      <w:bookmarkStart w:id="442" w:name="_Toc1079158967"/>
      <w:bookmarkStart w:id="443" w:name="_Toc1965582177"/>
      <w:bookmarkStart w:id="444" w:name="_Toc1079234375"/>
      <w:bookmarkStart w:id="445" w:name="_Toc896413984"/>
      <w:bookmarkStart w:id="446" w:name="_Toc1431236966"/>
      <w:bookmarkStart w:id="447" w:name="_Toc462370778"/>
      <w:bookmarkStart w:id="448" w:name="_Toc1215671912"/>
      <w:bookmarkStart w:id="449" w:name="_Toc1686531877"/>
      <w:bookmarkStart w:id="450" w:name="_Toc912490123"/>
      <w:bookmarkStart w:id="451" w:name="_Toc568930639"/>
      <w:bookmarkStart w:id="452" w:name="_Toc1175499688"/>
      <w:bookmarkStart w:id="453" w:name="_Toc443108384"/>
      <w:bookmarkStart w:id="454" w:name="_Toc896018531"/>
      <w:bookmarkStart w:id="455" w:name="_Toc341792812"/>
      <w:bookmarkStart w:id="456" w:name="_Toc76905801"/>
      <w:bookmarkStart w:id="457" w:name="_Toc13082361"/>
      <w:bookmarkStart w:id="458" w:name="_Toc850647538"/>
      <w:bookmarkStart w:id="459" w:name="_Toc2000349730"/>
      <w:bookmarkStart w:id="460" w:name="_Toc87342009"/>
      <w:bookmarkStart w:id="461" w:name="_Toc2033002564"/>
      <w:bookmarkStart w:id="462" w:name="_Toc829672431"/>
      <w:bookmarkStart w:id="463" w:name="_Toc2109388288"/>
      <w:bookmarkStart w:id="464" w:name="_Toc768828849"/>
      <w:bookmarkStart w:id="465" w:name="_Toc1989404851"/>
      <w:bookmarkStart w:id="466" w:name="_Toc371845694"/>
      <w:bookmarkStart w:id="467" w:name="_Toc710507040"/>
      <w:bookmarkStart w:id="468" w:name="_Toc1364442978"/>
      <w:bookmarkStart w:id="469" w:name="_Toc1947167946"/>
      <w:bookmarkStart w:id="470" w:name="_Toc1365229615"/>
      <w:bookmarkStart w:id="471" w:name="_Toc1140166910"/>
      <w:bookmarkStart w:id="472" w:name="_Toc118280043"/>
      <w:bookmarkStart w:id="473" w:name="_Toc1211562779"/>
      <w:bookmarkStart w:id="474" w:name="_Toc1102573189"/>
      <w:bookmarkStart w:id="475" w:name="_Toc1882156315"/>
      <w:bookmarkStart w:id="476" w:name="_Toc1317584652"/>
      <w:bookmarkStart w:id="477" w:name="_Toc304771020"/>
      <w:bookmarkStart w:id="478" w:name="_Toc896683825"/>
      <w:bookmarkStart w:id="479" w:name="_Toc1963032228"/>
      <w:bookmarkStart w:id="480" w:name="_Toc777374317"/>
      <w:bookmarkStart w:id="481" w:name="_Toc121939997"/>
      <w:bookmarkStart w:id="482" w:name="_Toc928424532"/>
      <w:bookmarkStart w:id="483" w:name="_Toc1549241418"/>
      <w:bookmarkStart w:id="484" w:name="_Toc308199887"/>
      <w:bookmarkStart w:id="485" w:name="_Toc821237193"/>
      <w:bookmarkStart w:id="486" w:name="_Toc576537600"/>
      <w:bookmarkStart w:id="487" w:name="_Toc1018968645"/>
      <w:bookmarkStart w:id="488" w:name="_Toc96326759"/>
      <w:bookmarkStart w:id="489" w:name="_Toc1338134700"/>
      <w:bookmarkStart w:id="490" w:name="_Toc239862888"/>
      <w:r w:rsidRPr="0041421A">
        <w:rPr>
          <w:rFonts w:eastAsia="Georgia"/>
          <w:b/>
          <w:bCs/>
          <w:color w:val="1F3A5F"/>
        </w:rPr>
        <w:t xml:space="preserve">3. Vision for DERs and VPPs in </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sidR="00EC1B80">
        <w:rPr>
          <w:rFonts w:eastAsia="Georgia"/>
          <w:b/>
          <w:bCs/>
          <w:color w:val="1F3A5F"/>
        </w:rPr>
        <w:t>the Commonwealth</w:t>
      </w:r>
      <w:bookmarkEnd w:id="490"/>
    </w:p>
    <w:p w14:paraId="03473B9A" w14:textId="648D826C" w:rsidR="00AB260A" w:rsidRPr="00A83026" w:rsidRDefault="0083346C" w:rsidP="00F435F1">
      <w:pPr>
        <w:spacing w:after="240"/>
      </w:pPr>
      <w:r w:rsidRPr="00A83026">
        <w:t xml:space="preserve">Virginia’s DER Task Force envisions a </w:t>
      </w:r>
      <w:r w:rsidRPr="00E326B6">
        <w:rPr>
          <w:b/>
        </w:rPr>
        <w:t xml:space="preserve">regulatory and market framework </w:t>
      </w:r>
      <w:r w:rsidR="002D4FD9" w:rsidRPr="00E326B6">
        <w:rPr>
          <w:b/>
        </w:rPr>
        <w:t>where</w:t>
      </w:r>
      <w:r w:rsidR="00A95C2F" w:rsidRPr="00E326B6">
        <w:rPr>
          <w:b/>
        </w:rPr>
        <w:t xml:space="preserve"> </w:t>
      </w:r>
      <w:r w:rsidR="00A267F0" w:rsidRPr="00E326B6">
        <w:rPr>
          <w:b/>
        </w:rPr>
        <w:t>all dispatchable DERs are valued as integral, scalable grid resources</w:t>
      </w:r>
      <w:r w:rsidR="0009665A" w:rsidRPr="00E326B6">
        <w:rPr>
          <w:b/>
        </w:rPr>
        <w:t xml:space="preserve"> and </w:t>
      </w:r>
      <w:r w:rsidR="00995215" w:rsidRPr="00E326B6">
        <w:rPr>
          <w:b/>
        </w:rPr>
        <w:t xml:space="preserve">are </w:t>
      </w:r>
      <w:r w:rsidR="00A267F0" w:rsidRPr="00E326B6">
        <w:rPr>
          <w:b/>
        </w:rPr>
        <w:t xml:space="preserve">enabled to deliver and be fairly </w:t>
      </w:r>
      <w:r w:rsidR="00E70ED7" w:rsidRPr="00E326B6">
        <w:rPr>
          <w:b/>
        </w:rPr>
        <w:t>compensated</w:t>
      </w:r>
      <w:r w:rsidR="00A267F0" w:rsidRPr="00E326B6">
        <w:rPr>
          <w:b/>
        </w:rPr>
        <w:t xml:space="preserve"> for </w:t>
      </w:r>
      <w:r w:rsidR="006D4455" w:rsidRPr="00E326B6">
        <w:rPr>
          <w:b/>
        </w:rPr>
        <w:t>providing</w:t>
      </w:r>
      <w:r w:rsidR="00A267F0" w:rsidRPr="00E326B6">
        <w:rPr>
          <w:b/>
        </w:rPr>
        <w:t xml:space="preserve"> cost-effective grid services</w:t>
      </w:r>
      <w:r w:rsidR="00A267F0" w:rsidRPr="00A83026">
        <w:t xml:space="preserve"> to meet Virginia’s energy needs</w:t>
      </w:r>
      <w:r w:rsidR="00182535">
        <w:t>. T</w:t>
      </w:r>
      <w:r w:rsidR="00A23205" w:rsidRPr="00A83026">
        <w:t>hese</w:t>
      </w:r>
      <w:r w:rsidR="00A267F0" w:rsidRPr="00A83026">
        <w:t xml:space="preserve"> market and regulatory designs </w:t>
      </w:r>
      <w:r w:rsidR="00A23205" w:rsidRPr="00A83026">
        <w:t>must both</w:t>
      </w:r>
      <w:r w:rsidR="00A267F0" w:rsidRPr="00A83026">
        <w:t xml:space="preserve"> build on the Commonwealth’s existing</w:t>
      </w:r>
      <w:r w:rsidR="000852FB" w:rsidRPr="00A83026">
        <w:t xml:space="preserve"> strategies</w:t>
      </w:r>
      <w:r w:rsidR="00C36D23" w:rsidRPr="00A83026">
        <w:t xml:space="preserve"> for DER deployment</w:t>
      </w:r>
      <w:r w:rsidR="00A267F0" w:rsidRPr="00A83026">
        <w:t xml:space="preserve"> and</w:t>
      </w:r>
      <w:r w:rsidR="00925FAF" w:rsidRPr="00A83026">
        <w:t xml:space="preserve"> be </w:t>
      </w:r>
      <w:r w:rsidR="00F91405" w:rsidRPr="00A83026">
        <w:t>structured</w:t>
      </w:r>
      <w:r w:rsidR="009835F7" w:rsidRPr="00A83026">
        <w:t xml:space="preserve"> </w:t>
      </w:r>
      <w:r w:rsidR="00D85EFF" w:rsidRPr="00A83026">
        <w:t>to anticipate future</w:t>
      </w:r>
      <w:r w:rsidR="008C7F6B" w:rsidRPr="00A83026">
        <w:t xml:space="preserve"> disruption</w:t>
      </w:r>
      <w:r w:rsidR="00D85EFF" w:rsidRPr="00A83026">
        <w:t>,</w:t>
      </w:r>
      <w:r w:rsidR="00A267F0" w:rsidRPr="00A83026">
        <w:t xml:space="preserve"> evolv</w:t>
      </w:r>
      <w:r w:rsidR="00D85EFF" w:rsidRPr="00A83026">
        <w:t>ing</w:t>
      </w:r>
      <w:r w:rsidR="00A267F0" w:rsidRPr="00A83026">
        <w:t xml:space="preserve"> with technology, markets, and system innovations.</w:t>
      </w:r>
    </w:p>
    <w:p w14:paraId="7A02E9E0" w14:textId="5EBF5478" w:rsidR="000D0B5C" w:rsidRPr="00A83026" w:rsidRDefault="000D0B5C" w:rsidP="00F435F1">
      <w:pPr>
        <w:spacing w:after="240"/>
      </w:pPr>
      <w:r w:rsidRPr="00A83026">
        <w:t xml:space="preserve">This section </w:t>
      </w:r>
      <w:r w:rsidR="00014760" w:rsidRPr="00A83026">
        <w:t xml:space="preserve">provides an overview of </w:t>
      </w:r>
      <w:r w:rsidR="000E420D" w:rsidRPr="00A83026">
        <w:t>DER and VPP benefits</w:t>
      </w:r>
      <w:r w:rsidR="00B5392E" w:rsidRPr="00A83026">
        <w:t xml:space="preserve"> and </w:t>
      </w:r>
      <w:r w:rsidR="00056152" w:rsidRPr="00A83026">
        <w:t>describes</w:t>
      </w:r>
      <w:r w:rsidR="00B5392E" w:rsidRPr="00A83026">
        <w:t xml:space="preserve"> how </w:t>
      </w:r>
      <w:r w:rsidR="00E03A58" w:rsidRPr="00A83026">
        <w:t xml:space="preserve">these dynamic resources can be harnessed </w:t>
      </w:r>
      <w:r w:rsidR="00FC4905" w:rsidRPr="00A83026">
        <w:t>to</w:t>
      </w:r>
      <w:r w:rsidR="008E4C4B" w:rsidRPr="00A83026">
        <w:t xml:space="preserve"> </w:t>
      </w:r>
      <w:r w:rsidR="00EB3084" w:rsidRPr="00A83026">
        <w:t>mitigate</w:t>
      </w:r>
      <w:r w:rsidR="008E4C4B" w:rsidRPr="00A83026">
        <w:t xml:space="preserve"> </w:t>
      </w:r>
      <w:r w:rsidR="00E63D13" w:rsidRPr="00A83026">
        <w:t>rising energy</w:t>
      </w:r>
      <w:r w:rsidR="00EB3084" w:rsidRPr="00A83026">
        <w:t xml:space="preserve"> and infrastructure</w:t>
      </w:r>
      <w:r w:rsidR="00E63D13" w:rsidRPr="00A83026">
        <w:t xml:space="preserve"> costs and</w:t>
      </w:r>
      <w:r w:rsidR="00FC4905" w:rsidRPr="00A83026">
        <w:t xml:space="preserve"> </w:t>
      </w:r>
      <w:r w:rsidR="00E13316">
        <w:t>help meet the Commonwealth’s growing power needs</w:t>
      </w:r>
      <w:r w:rsidR="00EB3084" w:rsidRPr="00A83026">
        <w:t xml:space="preserve">. </w:t>
      </w:r>
    </w:p>
    <w:p w14:paraId="59A6743A" w14:textId="77777777" w:rsidR="00AB260A" w:rsidRPr="002B5039" w:rsidRDefault="00AB260A" w:rsidP="00AB260A">
      <w:pPr>
        <w:pStyle w:val="Heading2"/>
        <w:spacing w:after="160"/>
        <w:rPr>
          <w:rFonts w:eastAsia="Georgia"/>
          <w:b/>
          <w:bCs/>
          <w:color w:val="1F3A5F"/>
        </w:rPr>
      </w:pPr>
      <w:bookmarkStart w:id="491" w:name="_Toc1259621387"/>
      <w:bookmarkStart w:id="492" w:name="_Toc1362863813"/>
      <w:bookmarkStart w:id="493" w:name="_Toc256103653"/>
      <w:bookmarkStart w:id="494" w:name="_Toc557784299"/>
      <w:bookmarkStart w:id="495" w:name="_Toc396868147"/>
      <w:bookmarkStart w:id="496" w:name="_Toc1069425958"/>
      <w:bookmarkStart w:id="497" w:name="_Toc1288547650"/>
      <w:bookmarkStart w:id="498" w:name="_Toc1930637219"/>
      <w:bookmarkStart w:id="499" w:name="_Toc2043641251"/>
      <w:bookmarkStart w:id="500" w:name="_Toc882514683"/>
      <w:bookmarkStart w:id="501" w:name="_Toc1447894914"/>
      <w:bookmarkStart w:id="502" w:name="_Toc1984662073"/>
      <w:bookmarkStart w:id="503" w:name="_Toc1377175160"/>
      <w:bookmarkStart w:id="504" w:name="_Toc586297812"/>
      <w:bookmarkStart w:id="505" w:name="_Toc510056850"/>
      <w:bookmarkStart w:id="506" w:name="_Toc800936975"/>
      <w:bookmarkStart w:id="507" w:name="_Toc1540316530"/>
      <w:bookmarkStart w:id="508" w:name="_Toc1044013192"/>
      <w:bookmarkStart w:id="509" w:name="_Toc1437997372"/>
      <w:bookmarkStart w:id="510" w:name="_Toc1017116730"/>
      <w:bookmarkStart w:id="511" w:name="_Toc425066138"/>
      <w:bookmarkStart w:id="512" w:name="_Toc1983373464"/>
      <w:bookmarkStart w:id="513" w:name="_Toc1090495136"/>
      <w:bookmarkStart w:id="514" w:name="_Toc853330880"/>
      <w:bookmarkStart w:id="515" w:name="_Toc1930220882"/>
      <w:bookmarkStart w:id="516" w:name="_Toc1862954399"/>
      <w:bookmarkStart w:id="517" w:name="_Toc1581367484"/>
      <w:bookmarkStart w:id="518" w:name="_Toc1417809310"/>
      <w:bookmarkStart w:id="519" w:name="_Toc577522885"/>
      <w:bookmarkStart w:id="520" w:name="_Toc545680219"/>
      <w:bookmarkStart w:id="521" w:name="_Toc1115410290"/>
      <w:bookmarkStart w:id="522" w:name="_Toc1644932793"/>
      <w:bookmarkStart w:id="523" w:name="_Toc2047695396"/>
      <w:bookmarkStart w:id="524" w:name="_Toc1397896281"/>
      <w:bookmarkStart w:id="525" w:name="_Toc1949827103"/>
      <w:bookmarkStart w:id="526" w:name="_Toc807192605"/>
      <w:bookmarkStart w:id="527" w:name="_Toc1237698997"/>
      <w:bookmarkStart w:id="528" w:name="_Toc754403442"/>
      <w:bookmarkStart w:id="529" w:name="_Toc348154676"/>
      <w:bookmarkStart w:id="530" w:name="_Toc674742595"/>
      <w:bookmarkStart w:id="531" w:name="_Toc2003911042"/>
      <w:bookmarkStart w:id="532" w:name="_Toc72499162"/>
      <w:bookmarkStart w:id="533" w:name="_Toc1346576375"/>
      <w:bookmarkStart w:id="534" w:name="_Toc2023676904"/>
      <w:bookmarkStart w:id="535" w:name="_Toc1008267230"/>
      <w:bookmarkStart w:id="536" w:name="_Toc1739549124"/>
      <w:bookmarkStart w:id="537" w:name="_Toc1515053961"/>
      <w:bookmarkStart w:id="538" w:name="_Toc1739303267"/>
      <w:bookmarkStart w:id="539" w:name="_Toc239862889"/>
      <w:r w:rsidRPr="0041421A">
        <w:rPr>
          <w:rFonts w:eastAsia="Georgia"/>
          <w:b/>
          <w:bCs/>
          <w:color w:val="1F3A5F"/>
        </w:rPr>
        <w:t xml:space="preserve">3.1 </w:t>
      </w:r>
      <w:r>
        <w:rPr>
          <w:rFonts w:eastAsia="Georgia"/>
          <w:b/>
          <w:bCs/>
          <w:color w:val="1F3A5F"/>
        </w:rPr>
        <w:t xml:space="preserve">Key </w:t>
      </w:r>
      <w:r w:rsidRPr="0041421A">
        <w:rPr>
          <w:rFonts w:eastAsia="Georgia"/>
          <w:b/>
          <w:bCs/>
          <w:color w:val="1F3A5F"/>
        </w:rPr>
        <w:t>Benefits of DERs</w:t>
      </w:r>
      <w:r>
        <w:rPr>
          <w:rFonts w:eastAsia="Georgia"/>
          <w:b/>
          <w:bCs/>
          <w:color w:val="1F3A5F"/>
        </w:rPr>
        <w:t xml:space="preserve"> and VPPs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63291E9A" w14:textId="3E887724" w:rsidR="00DD64FE" w:rsidRPr="00EB1E4C" w:rsidRDefault="00A4436E" w:rsidP="00081CEE">
      <w:pPr>
        <w:spacing w:after="240"/>
        <w:rPr>
          <w:color w:val="000000" w:themeColor="text1"/>
        </w:rPr>
      </w:pPr>
      <w:r>
        <w:rPr>
          <w:color w:val="000000" w:themeColor="text1"/>
        </w:rPr>
        <w:t xml:space="preserve">As </w:t>
      </w:r>
      <w:r w:rsidR="00F40093">
        <w:rPr>
          <w:color w:val="000000" w:themeColor="text1"/>
        </w:rPr>
        <w:t>cited by the DOE’s</w:t>
      </w:r>
      <w:r w:rsidR="00FC5735" w:rsidRPr="00FC5735">
        <w:rPr>
          <w:rFonts w:ascii="Roboto" w:hAnsi="Roboto"/>
          <w:color w:val="6C6C6C"/>
          <w:sz w:val="21"/>
          <w:szCs w:val="21"/>
          <w:shd w:val="clear" w:color="auto" w:fill="FFFFFF"/>
        </w:rPr>
        <w:t xml:space="preserve"> </w:t>
      </w:r>
      <w:r w:rsidR="00FC5735" w:rsidRPr="00031553">
        <w:rPr>
          <w:i/>
          <w:iCs/>
          <w:color w:val="000000" w:themeColor="text1"/>
        </w:rPr>
        <w:t>Pathways to Commercial Liftoff: Virtual Power Plants</w:t>
      </w:r>
      <w:r w:rsidR="00FC5735">
        <w:rPr>
          <w:i/>
          <w:iCs/>
          <w:color w:val="000000" w:themeColor="text1"/>
        </w:rPr>
        <w:t xml:space="preserve"> </w:t>
      </w:r>
      <w:r w:rsidR="00FC5735" w:rsidRPr="00031553">
        <w:rPr>
          <w:color w:val="000000" w:themeColor="text1"/>
        </w:rPr>
        <w:t>Report</w:t>
      </w:r>
      <w:r w:rsidR="00FC5735">
        <w:rPr>
          <w:color w:val="000000" w:themeColor="text1"/>
        </w:rPr>
        <w:t xml:space="preserve"> and P</w:t>
      </w:r>
      <w:r w:rsidR="00031553">
        <w:rPr>
          <w:color w:val="000000" w:themeColor="text1"/>
        </w:rPr>
        <w:t>ew</w:t>
      </w:r>
      <w:r w:rsidR="00FC5735">
        <w:rPr>
          <w:color w:val="000000" w:themeColor="text1"/>
        </w:rPr>
        <w:t>’s</w:t>
      </w:r>
      <w:r w:rsidR="00031553">
        <w:rPr>
          <w:color w:val="000000" w:themeColor="text1"/>
        </w:rPr>
        <w:t xml:space="preserve"> </w:t>
      </w:r>
      <w:r w:rsidR="00031553" w:rsidRPr="00031553">
        <w:rPr>
          <w:i/>
          <w:iCs/>
          <w:color w:val="000000" w:themeColor="text1"/>
        </w:rPr>
        <w:t>Distributed Energy Can Unleash the Resilient, Affordable Grid of the Future</w:t>
      </w:r>
      <w:r w:rsidR="00031553">
        <w:rPr>
          <w:color w:val="000000" w:themeColor="text1"/>
        </w:rPr>
        <w:t>,</w:t>
      </w:r>
      <w:r w:rsidR="00F40093" w:rsidRPr="00FC5735">
        <w:rPr>
          <w:color w:val="000000" w:themeColor="text1"/>
        </w:rPr>
        <w:t xml:space="preserve"> </w:t>
      </w:r>
      <w:r w:rsidR="003B6011" w:rsidRPr="00FC5735">
        <w:rPr>
          <w:color w:val="000000" w:themeColor="text1"/>
        </w:rPr>
        <w:t>DERs</w:t>
      </w:r>
      <w:r w:rsidR="00081CEE" w:rsidRPr="00EB1E4C">
        <w:rPr>
          <w:color w:val="000000" w:themeColor="text1"/>
        </w:rPr>
        <w:t xml:space="preserve"> provide meaningful benefits to </w:t>
      </w:r>
      <w:r w:rsidR="00745672">
        <w:rPr>
          <w:color w:val="000000" w:themeColor="text1"/>
        </w:rPr>
        <w:t xml:space="preserve">the </w:t>
      </w:r>
      <w:r w:rsidR="00631DDE">
        <w:rPr>
          <w:color w:val="000000" w:themeColor="text1"/>
        </w:rPr>
        <w:t xml:space="preserve">broader grid and </w:t>
      </w:r>
      <w:r w:rsidR="00686648">
        <w:rPr>
          <w:color w:val="000000" w:themeColor="text1"/>
        </w:rPr>
        <w:t>residents</w:t>
      </w:r>
      <w:r w:rsidR="00081CEE" w:rsidRPr="00EB1E4C">
        <w:rPr>
          <w:color w:val="000000" w:themeColor="text1"/>
        </w:rPr>
        <w:t xml:space="preserve">. DERs include customer- and community-sited resources such as rooftop solar, battery energy storage, </w:t>
      </w:r>
      <w:r w:rsidR="00E5433F">
        <w:rPr>
          <w:color w:val="000000" w:themeColor="text1"/>
        </w:rPr>
        <w:t xml:space="preserve">demand response (DR) technologies and programs (such as </w:t>
      </w:r>
      <w:r w:rsidR="00081CEE" w:rsidRPr="00EB1E4C">
        <w:rPr>
          <w:color w:val="000000" w:themeColor="text1"/>
        </w:rPr>
        <w:t xml:space="preserve">smart thermostats, controllable water heating and </w:t>
      </w:r>
      <w:r w:rsidR="00C332EF">
        <w:rPr>
          <w:color w:val="000000" w:themeColor="text1"/>
        </w:rPr>
        <w:t>HVAC</w:t>
      </w:r>
      <w:r w:rsidR="00703DD8">
        <w:rPr>
          <w:color w:val="000000" w:themeColor="text1"/>
        </w:rPr>
        <w:t xml:space="preserve"> equipment</w:t>
      </w:r>
      <w:r w:rsidR="00E5433F">
        <w:rPr>
          <w:color w:val="000000" w:themeColor="text1"/>
        </w:rPr>
        <w:t>)</w:t>
      </w:r>
      <w:r w:rsidR="00081CEE" w:rsidRPr="00EB1E4C">
        <w:rPr>
          <w:color w:val="000000" w:themeColor="text1"/>
        </w:rPr>
        <w:t xml:space="preserve"> managed electric</w:t>
      </w:r>
      <w:r w:rsidR="00E55FEA">
        <w:rPr>
          <w:color w:val="000000" w:themeColor="text1"/>
        </w:rPr>
        <w:t xml:space="preserve"> </w:t>
      </w:r>
      <w:r w:rsidR="00081CEE" w:rsidRPr="00EB1E4C">
        <w:rPr>
          <w:color w:val="000000" w:themeColor="text1"/>
        </w:rPr>
        <w:t>vehicle charging, vehicle-to-grid systems, energy efficiency, and microgrids.</w:t>
      </w:r>
      <w:r w:rsidR="00915FB6" w:rsidRPr="00EB1E4C">
        <w:rPr>
          <w:color w:val="000000" w:themeColor="text1"/>
        </w:rPr>
        <w:t xml:space="preserve"> </w:t>
      </w:r>
      <w:r w:rsidR="00816B6F" w:rsidRPr="00EB1E4C">
        <w:rPr>
          <w:color w:val="000000" w:themeColor="text1"/>
        </w:rPr>
        <w:t>For an individual customer, DERs can lower energy bills, increase control over energy use, and, when paired with storage or other backup capability, sustain critical loads during an outage.</w:t>
      </w:r>
      <w:r w:rsidR="00CD67BA" w:rsidRPr="00EB1E4C">
        <w:rPr>
          <w:rFonts w:ascii="Segoe UI" w:eastAsia="Times New Roman" w:hAnsi="Segoe UI" w:cs="Segoe UI"/>
          <w:color w:val="000000" w:themeColor="text1"/>
          <w:sz w:val="18"/>
          <w:szCs w:val="18"/>
        </w:rPr>
        <w:t xml:space="preserve"> </w:t>
      </w:r>
      <w:r w:rsidR="00CD67BA" w:rsidRPr="00EB1E4C">
        <w:rPr>
          <w:color w:val="000000" w:themeColor="text1"/>
        </w:rPr>
        <w:t>Some DERs, such as standalone rooftop solar and energy-efficiency measures, primarily provide value through on-site generation or reduced electricity use but generally cannot be directed to respond at a particular time. Dispatchable DERs—including batteries, managed EV charging, smart thermostats, controllable water heaters, and solar paired with storage—can increase output, reduce consumption, or shift electricity use in response to grid conditions</w:t>
      </w:r>
      <w:r w:rsidR="000B30F6">
        <w:rPr>
          <w:color w:val="000000" w:themeColor="text1"/>
        </w:rPr>
        <w:t xml:space="preserve"> when controlled and aggregated to provide these grid services. </w:t>
      </w:r>
    </w:p>
    <w:p w14:paraId="6F151FE0" w14:textId="70802906" w:rsidR="00915FB6" w:rsidRPr="00EB1E4C" w:rsidRDefault="00816B6F" w:rsidP="00081CEE">
      <w:pPr>
        <w:spacing w:after="240"/>
        <w:rPr>
          <w:color w:val="000000" w:themeColor="text1"/>
        </w:rPr>
      </w:pPr>
      <w:r w:rsidRPr="00EB1E4C">
        <w:rPr>
          <w:color w:val="000000" w:themeColor="text1"/>
        </w:rPr>
        <w:t xml:space="preserve">The </w:t>
      </w:r>
      <w:r w:rsidR="0068600C">
        <w:rPr>
          <w:color w:val="000000" w:themeColor="text1"/>
        </w:rPr>
        <w:t>system-wide</w:t>
      </w:r>
      <w:r w:rsidRPr="00EB1E4C">
        <w:rPr>
          <w:color w:val="000000" w:themeColor="text1"/>
        </w:rPr>
        <w:t xml:space="preserve"> value of DERs grows when many individual distributed resources are coordinated through a </w:t>
      </w:r>
      <w:r w:rsidRPr="00F52B94">
        <w:rPr>
          <w:bCs/>
          <w:color w:val="000000" w:themeColor="text1"/>
        </w:rPr>
        <w:t>virtual power plant (VPP</w:t>
      </w:r>
      <w:r w:rsidRPr="00EB1E4C">
        <w:rPr>
          <w:color w:val="000000" w:themeColor="text1"/>
        </w:rPr>
        <w:t xml:space="preserve">). A VPP uses communications and control systems to aggregate participating DERs and operate them as a single, flexible grid resource. Rather than </w:t>
      </w:r>
      <w:r w:rsidR="00915FB6" w:rsidRPr="00EB1E4C">
        <w:rPr>
          <w:color w:val="000000" w:themeColor="text1"/>
        </w:rPr>
        <w:t xml:space="preserve">using a </w:t>
      </w:r>
      <w:r w:rsidRPr="00EB1E4C">
        <w:rPr>
          <w:color w:val="000000" w:themeColor="text1"/>
        </w:rPr>
        <w:t xml:space="preserve">centralized power plant or a single large battery, a VPP can </w:t>
      </w:r>
      <w:r w:rsidR="00B855A2">
        <w:rPr>
          <w:color w:val="000000" w:themeColor="text1"/>
        </w:rPr>
        <w:t xml:space="preserve">simultaneously </w:t>
      </w:r>
      <w:r w:rsidRPr="00EB1E4C">
        <w:rPr>
          <w:color w:val="000000" w:themeColor="text1"/>
        </w:rPr>
        <w:t xml:space="preserve">call on many smaller resources </w:t>
      </w:r>
      <w:r w:rsidR="00DB48B0">
        <w:rPr>
          <w:color w:val="000000" w:themeColor="text1"/>
        </w:rPr>
        <w:t>located</w:t>
      </w:r>
      <w:r w:rsidRPr="00EB1E4C">
        <w:rPr>
          <w:color w:val="000000" w:themeColor="text1"/>
        </w:rPr>
        <w:t xml:space="preserve"> </w:t>
      </w:r>
      <w:r w:rsidR="0008087C">
        <w:rPr>
          <w:color w:val="000000" w:themeColor="text1"/>
        </w:rPr>
        <w:t xml:space="preserve">across the distribution systems, including from behind-the-meter resources located in </w:t>
      </w:r>
      <w:r w:rsidRPr="00EB1E4C">
        <w:rPr>
          <w:color w:val="000000" w:themeColor="text1"/>
        </w:rPr>
        <w:t xml:space="preserve">homes, businesses, </w:t>
      </w:r>
      <w:r w:rsidR="003F0493">
        <w:rPr>
          <w:color w:val="000000" w:themeColor="text1"/>
        </w:rPr>
        <w:t xml:space="preserve">and </w:t>
      </w:r>
      <w:r w:rsidRPr="00EB1E4C">
        <w:rPr>
          <w:color w:val="000000" w:themeColor="text1"/>
        </w:rPr>
        <w:t>public facilities</w:t>
      </w:r>
      <w:r w:rsidR="0008087C">
        <w:rPr>
          <w:color w:val="000000" w:themeColor="text1"/>
        </w:rPr>
        <w:t xml:space="preserve"> or from front-of-the-meter</w:t>
      </w:r>
      <w:r w:rsidR="00745F94">
        <w:rPr>
          <w:color w:val="000000" w:themeColor="text1"/>
        </w:rPr>
        <w:t xml:space="preserve"> resources </w:t>
      </w:r>
      <w:r w:rsidR="00954AFF">
        <w:rPr>
          <w:color w:val="000000" w:themeColor="text1"/>
        </w:rPr>
        <w:t>connected to the distribution system</w:t>
      </w:r>
      <w:r w:rsidRPr="00EB1E4C">
        <w:rPr>
          <w:color w:val="000000" w:themeColor="text1"/>
        </w:rPr>
        <w:t xml:space="preserve">. </w:t>
      </w:r>
      <w:r w:rsidR="00954AFF">
        <w:rPr>
          <w:color w:val="000000" w:themeColor="text1"/>
        </w:rPr>
        <w:t>For customers that own or host the DER</w:t>
      </w:r>
      <w:r w:rsidR="0083578F">
        <w:rPr>
          <w:color w:val="000000" w:themeColor="text1"/>
        </w:rPr>
        <w:t xml:space="preserve"> </w:t>
      </w:r>
      <w:r w:rsidR="00756829">
        <w:rPr>
          <w:color w:val="000000" w:themeColor="text1"/>
        </w:rPr>
        <w:t>and participate in a VPP, they</w:t>
      </w:r>
      <w:r w:rsidRPr="00EB1E4C">
        <w:rPr>
          <w:color w:val="000000" w:themeColor="text1"/>
        </w:rPr>
        <w:t xml:space="preserve"> </w:t>
      </w:r>
      <w:r w:rsidR="00756829">
        <w:rPr>
          <w:color w:val="000000" w:themeColor="text1"/>
        </w:rPr>
        <w:t xml:space="preserve">receive </w:t>
      </w:r>
      <w:r w:rsidRPr="00EB1E4C">
        <w:rPr>
          <w:color w:val="000000" w:themeColor="text1"/>
        </w:rPr>
        <w:t xml:space="preserve">compensation or other incentives for </w:t>
      </w:r>
      <w:r w:rsidR="00756829">
        <w:rPr>
          <w:color w:val="000000" w:themeColor="text1"/>
        </w:rPr>
        <w:t xml:space="preserve">providing various </w:t>
      </w:r>
      <w:r w:rsidRPr="00EB1E4C">
        <w:rPr>
          <w:color w:val="000000" w:themeColor="text1"/>
        </w:rPr>
        <w:t>flexibility, generation, storage, or load-reduction services</w:t>
      </w:r>
      <w:r w:rsidR="00756829">
        <w:rPr>
          <w:color w:val="000000" w:themeColor="text1"/>
        </w:rPr>
        <w:t xml:space="preserve"> through their DERs</w:t>
      </w:r>
      <w:r w:rsidRPr="00EB1E4C">
        <w:rPr>
          <w:color w:val="000000" w:themeColor="text1"/>
        </w:rPr>
        <w:t>.</w:t>
      </w:r>
      <w:r w:rsidR="00915FB6" w:rsidRPr="00EB1E4C">
        <w:rPr>
          <w:color w:val="000000" w:themeColor="text1"/>
        </w:rPr>
        <w:t xml:space="preserve"> </w:t>
      </w:r>
    </w:p>
    <w:p w14:paraId="0C5A44ED" w14:textId="1E8AD8C0" w:rsidR="003F1041" w:rsidRDefault="00C45D36" w:rsidP="00081CEE">
      <w:pPr>
        <w:spacing w:after="240"/>
        <w:rPr>
          <w:color w:val="000000" w:themeColor="text1"/>
        </w:rPr>
      </w:pPr>
      <w:r w:rsidRPr="00EB1E4C">
        <w:rPr>
          <w:color w:val="000000" w:themeColor="text1"/>
        </w:rPr>
        <w:t xml:space="preserve">Aggregated DERs can provide multiple types of grid services, including </w:t>
      </w:r>
      <w:r w:rsidR="00C607F5" w:rsidRPr="00EB1E4C">
        <w:rPr>
          <w:color w:val="000000" w:themeColor="text1"/>
        </w:rPr>
        <w:t>reducing peak</w:t>
      </w:r>
      <w:r w:rsidR="00921347">
        <w:rPr>
          <w:color w:val="000000" w:themeColor="text1"/>
        </w:rPr>
        <w:t xml:space="preserve"> </w:t>
      </w:r>
      <w:r w:rsidR="00C607F5" w:rsidRPr="00EB1E4C">
        <w:rPr>
          <w:color w:val="000000" w:themeColor="text1"/>
        </w:rPr>
        <w:t xml:space="preserve">load by shifting electricity use or providing </w:t>
      </w:r>
      <w:r w:rsidRPr="00EB1E4C">
        <w:rPr>
          <w:color w:val="000000" w:themeColor="text1"/>
        </w:rPr>
        <w:t xml:space="preserve">energy (electricity), capacity (commitment of availability to produce </w:t>
      </w:r>
      <w:r>
        <w:t>electricity),</w:t>
      </w:r>
      <w:r w:rsidRPr="0041421A">
        <w:t xml:space="preserve"> and ancillary services</w:t>
      </w:r>
      <w:r w:rsidR="00915FB6">
        <w:t xml:space="preserve"> </w:t>
      </w:r>
      <w:r>
        <w:t xml:space="preserve">that support power quality (e.g., </w:t>
      </w:r>
      <w:r w:rsidRPr="0041421A">
        <w:t>frequency regulation</w:t>
      </w:r>
      <w:r>
        <w:t>).</w:t>
      </w:r>
      <w:r w:rsidR="00756829">
        <w:t xml:space="preserve"> Aggregating and orchestrating DERs to provide these grid services requires </w:t>
      </w:r>
      <w:r w:rsidR="00756829">
        <w:rPr>
          <w:color w:val="000000" w:themeColor="text1"/>
        </w:rPr>
        <w:t>establishing operational and technical protocols</w:t>
      </w:r>
      <w:r w:rsidR="00480839">
        <w:rPr>
          <w:color w:val="000000" w:themeColor="text1"/>
        </w:rPr>
        <w:t>, both at the retail and wholesale market levels</w:t>
      </w:r>
      <w:r w:rsidR="00F53DBD">
        <w:rPr>
          <w:color w:val="000000" w:themeColor="text1"/>
        </w:rPr>
        <w:t xml:space="preserve"> (</w:t>
      </w:r>
      <w:r w:rsidR="00480839">
        <w:rPr>
          <w:color w:val="000000" w:themeColor="text1"/>
        </w:rPr>
        <w:t xml:space="preserve">see Section XX for additional discussion on the </w:t>
      </w:r>
      <w:r w:rsidR="00F53DBD">
        <w:rPr>
          <w:color w:val="000000" w:themeColor="text1"/>
        </w:rPr>
        <w:t xml:space="preserve">necessary policies required to enable </w:t>
      </w:r>
      <w:r w:rsidR="00480839">
        <w:rPr>
          <w:color w:val="000000" w:themeColor="text1"/>
        </w:rPr>
        <w:t>VPPs/DER aggregation and market participation</w:t>
      </w:r>
      <w:r w:rsidR="00F53DBD">
        <w:rPr>
          <w:color w:val="000000" w:themeColor="text1"/>
        </w:rPr>
        <w:t xml:space="preserve">). </w:t>
      </w:r>
      <w:r w:rsidR="00756829">
        <w:rPr>
          <w:color w:val="000000" w:themeColor="text1"/>
        </w:rPr>
        <w:t xml:space="preserve"> </w:t>
      </w:r>
    </w:p>
    <w:p w14:paraId="7AFC6EA6" w14:textId="77777777" w:rsidR="00E72132" w:rsidRDefault="00E72132" w:rsidP="00E72132">
      <w:pPr>
        <w:spacing w:after="240"/>
        <w:jc w:val="center"/>
        <w:rPr>
          <w:noProof/>
        </w:rPr>
      </w:pPr>
    </w:p>
    <w:p w14:paraId="412DC6EC" w14:textId="737BF869" w:rsidR="00E72132" w:rsidRDefault="00E72132" w:rsidP="00E72132">
      <w:pPr>
        <w:spacing w:after="240"/>
        <w:jc w:val="center"/>
        <w:rPr>
          <w:color w:val="000000" w:themeColor="text1"/>
        </w:rPr>
      </w:pPr>
    </w:p>
    <w:p w14:paraId="573C4340" w14:textId="298B3634" w:rsidR="005D75C6" w:rsidRPr="00CE2521" w:rsidRDefault="005D75C6" w:rsidP="00CE2521">
      <w:pPr>
        <w:pStyle w:val="NormalWeb"/>
      </w:pPr>
      <w:r>
        <w:rPr>
          <w:noProof/>
        </w:rPr>
        <w:drawing>
          <wp:inline distT="0" distB="0" distL="0" distR="0" wp14:anchorId="2D42C71C" wp14:editId="7FDE0642">
            <wp:extent cx="6042991" cy="3482002"/>
            <wp:effectExtent l="0" t="0" r="0" b="444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47825" cy="3484787"/>
                    </a:xfrm>
                    <a:prstGeom prst="rect">
                      <a:avLst/>
                    </a:prstGeom>
                    <a:noFill/>
                    <a:ln>
                      <a:noFill/>
                    </a:ln>
                  </pic:spPr>
                </pic:pic>
              </a:graphicData>
            </a:graphic>
          </wp:inline>
        </w:drawing>
      </w:r>
    </w:p>
    <w:p w14:paraId="143525E0" w14:textId="75F5DBFD" w:rsidR="00E72132" w:rsidRPr="00AF04FA" w:rsidRDefault="00E72132" w:rsidP="00E72132">
      <w:pPr>
        <w:spacing w:after="240"/>
      </w:pPr>
      <w:r w:rsidRPr="7F9829BB">
        <w:rPr>
          <w:i/>
          <w:color w:val="595959" w:themeColor="text1" w:themeTint="A6"/>
          <w:sz w:val="20"/>
          <w:szCs w:val="20"/>
        </w:rPr>
        <w:t xml:space="preserve">Figure </w:t>
      </w:r>
      <w:r w:rsidR="00FE29DE">
        <w:rPr>
          <w:i/>
          <w:color w:val="595959" w:themeColor="text1" w:themeTint="A6"/>
          <w:sz w:val="20"/>
          <w:szCs w:val="20"/>
        </w:rPr>
        <w:t>1</w:t>
      </w:r>
      <w:r w:rsidRPr="7F9829BB">
        <w:rPr>
          <w:i/>
          <w:color w:val="595959" w:themeColor="text1" w:themeTint="A6"/>
          <w:sz w:val="20"/>
          <w:szCs w:val="20"/>
        </w:rPr>
        <w:t xml:space="preserve">: </w:t>
      </w:r>
      <w:r w:rsidR="003C1DB2">
        <w:rPr>
          <w:i/>
          <w:color w:val="595959" w:themeColor="text1" w:themeTint="A6"/>
          <w:sz w:val="20"/>
          <w:szCs w:val="20"/>
        </w:rPr>
        <w:t xml:space="preserve">Illustration of standalone </w:t>
      </w:r>
      <w:r w:rsidRPr="7F9829BB">
        <w:rPr>
          <w:i/>
          <w:color w:val="595959" w:themeColor="text1" w:themeTint="A6"/>
          <w:sz w:val="20"/>
          <w:szCs w:val="20"/>
        </w:rPr>
        <w:t>Distributed Energy Resources (DERs)</w:t>
      </w:r>
      <w:r w:rsidR="003C1DB2">
        <w:rPr>
          <w:i/>
          <w:color w:val="595959" w:themeColor="text1" w:themeTint="A6"/>
          <w:sz w:val="20"/>
          <w:szCs w:val="20"/>
        </w:rPr>
        <w:t xml:space="preserve"> versus aggregated DERs into a Virtual Power Plant (VPP). </w:t>
      </w:r>
      <w:r>
        <w:rPr>
          <w:i/>
          <w:color w:val="595959" w:themeColor="text1" w:themeTint="A6"/>
          <w:sz w:val="20"/>
          <w:szCs w:val="20"/>
        </w:rPr>
        <w:t xml:space="preserve">Aggregated VPP capacity figures are illustrative. </w:t>
      </w:r>
    </w:p>
    <w:p w14:paraId="16B1A150" w14:textId="74055EE2" w:rsidR="007D4FC0" w:rsidRDefault="00E72132" w:rsidP="00F435F1">
      <w:pPr>
        <w:spacing w:after="240"/>
        <w:rPr>
          <w:color w:val="3D4A5C"/>
        </w:rPr>
      </w:pPr>
      <w:r w:rsidRPr="00D34C7E">
        <w:t xml:space="preserve">An individual DER can provide benefits to customers as a standalone investment, such as a home solar and storage system can be set up to reduce a household’s energy costs and enhance household reliability and resilience. When </w:t>
      </w:r>
      <w:r w:rsidR="003C1DB2" w:rsidRPr="00D34C7E">
        <w:t xml:space="preserve">DERs are </w:t>
      </w:r>
      <w:r w:rsidRPr="00D34C7E">
        <w:t xml:space="preserve">aggregated </w:t>
      </w:r>
      <w:r w:rsidR="003C1DB2" w:rsidRPr="00D34C7E">
        <w:t xml:space="preserve">and orchestrated to provide grid services, such as </w:t>
      </w:r>
      <w:r w:rsidRPr="00D34C7E">
        <w:t>through a VPP program, the value they can provide for the grid and asset owners is significantly increase</w:t>
      </w:r>
      <w:r w:rsidR="003F0A6F" w:rsidRPr="00D34C7E">
        <w:t>d</w:t>
      </w:r>
      <w:r w:rsidR="003C1DB2" w:rsidRPr="00D34C7E">
        <w:t xml:space="preserve">. As Figure </w:t>
      </w:r>
      <w:r w:rsidR="00E067DF">
        <w:t>1</w:t>
      </w:r>
      <w:r w:rsidR="003C1DB2" w:rsidRPr="00D34C7E">
        <w:t xml:space="preserve"> summarizes, VPPs can </w:t>
      </w:r>
      <w:r w:rsidR="005221EC" w:rsidRPr="00D34C7E">
        <w:t xml:space="preserve">provide </w:t>
      </w:r>
      <w:r w:rsidR="003C1DB2" w:rsidRPr="00D34C7E">
        <w:t>grid capacity to help meet growing demand</w:t>
      </w:r>
      <w:r w:rsidR="005221EC" w:rsidRPr="00D34C7E">
        <w:t xml:space="preserve">; </w:t>
      </w:r>
      <w:r w:rsidR="003C1DB2" w:rsidRPr="00D34C7E">
        <w:t xml:space="preserve">improve affordability through </w:t>
      </w:r>
      <w:r w:rsidR="005221EC" w:rsidRPr="00D34C7E">
        <w:t xml:space="preserve">deferring </w:t>
      </w:r>
      <w:r w:rsidR="00DB5DA7" w:rsidRPr="0041421A">
        <w:t>or avoid</w:t>
      </w:r>
      <w:r w:rsidR="005221EC">
        <w:t xml:space="preserve">ing </w:t>
      </w:r>
      <w:r w:rsidR="00DB5DA7" w:rsidRPr="0041421A">
        <w:t xml:space="preserve">new </w:t>
      </w:r>
      <w:r w:rsidR="005221EC">
        <w:t xml:space="preserve">generation, </w:t>
      </w:r>
      <w:r w:rsidR="00DB5DA7" w:rsidRPr="0041421A">
        <w:t>transmission</w:t>
      </w:r>
      <w:r w:rsidR="005221EC">
        <w:t xml:space="preserve">, or </w:t>
      </w:r>
      <w:r w:rsidR="00DB5DA7" w:rsidRPr="0041421A">
        <w:t xml:space="preserve">distribution </w:t>
      </w:r>
      <w:r w:rsidR="00DB5DA7">
        <w:t>buildout</w:t>
      </w:r>
      <w:r w:rsidR="005221EC">
        <w:t xml:space="preserve"> and compensating consumers and businesses directly; and</w:t>
      </w:r>
      <w:r w:rsidR="0029246C">
        <w:t xml:space="preserve"> </w:t>
      </w:r>
      <w:r w:rsidR="00DB5DA7">
        <w:t>provid</w:t>
      </w:r>
      <w:r w:rsidR="005221EC">
        <w:t xml:space="preserve">ing </w:t>
      </w:r>
      <w:r w:rsidR="00DB5DA7">
        <w:t>locational</w:t>
      </w:r>
      <w:r w:rsidR="00DB5DA7" w:rsidRPr="0041421A">
        <w:t xml:space="preserve"> resilience and backup power at the community level.</w:t>
      </w:r>
      <w:r w:rsidR="00C032B6">
        <w:rPr>
          <w:rStyle w:val="FootnoteReference"/>
        </w:rPr>
        <w:footnoteReference w:id="17"/>
      </w:r>
      <w:r w:rsidR="00DB5DA7" w:rsidRPr="0041421A">
        <w:t xml:space="preserve"> </w:t>
      </w:r>
      <w:r w:rsidR="005221EC" w:rsidRPr="005221EC">
        <w:t xml:space="preserve">In addition to providing grid and customer value, DERs and VPPs </w:t>
      </w:r>
      <w:r w:rsidR="00CF306A">
        <w:t>can be quick to deploy (</w:t>
      </w:r>
      <w:r w:rsidR="005221EC" w:rsidRPr="005221EC">
        <w:t>deployed in months versus multiple years) and at lower cost than traditional generation and transmission infrastructure buildout to help meet near-term energy needs</w:t>
      </w:r>
      <w:r w:rsidR="00CF306A">
        <w:t>.</w:t>
      </w:r>
      <w:r w:rsidR="00C032B6">
        <w:rPr>
          <w:rStyle w:val="FootnoteReference"/>
        </w:rPr>
        <w:footnoteReference w:id="18"/>
      </w:r>
    </w:p>
    <w:p w14:paraId="7D92A968" w14:textId="29F51DC9" w:rsidR="00295083" w:rsidRDefault="00295083" w:rsidP="00F435F1">
      <w:pPr>
        <w:spacing w:after="240"/>
        <w:rPr>
          <w:color w:val="3D4A5C"/>
        </w:rPr>
      </w:pPr>
      <w:r>
        <w:rPr>
          <w:noProof/>
        </w:rPr>
        <w:drawing>
          <wp:inline distT="0" distB="0" distL="0" distR="0" wp14:anchorId="3B847A5E" wp14:editId="3588967D">
            <wp:extent cx="5557962" cy="2625130"/>
            <wp:effectExtent l="0" t="0" r="5080" b="3810"/>
            <wp:docPr id="1306479733" name="Picture 1306479733" descr="Edit the attached graphic only. Preserve the entire layout, dimensions, colors, icons, borders, spacing, typography, body text, line breaks, and all other visual elements exactly as they are. Change only the title at the top from “VPP value proposition” to “VPP Value Proposition,” capitalizing every word. Do not alter any other text or content. Output the recreated graphic at the exact same dimensions as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t the attached graphic only. Preserve the entire layout, dimensions, colors, icons, borders, spacing, typography, body text, line breaks, and all other visual elements exactly as they are. Change only the title at the top from “VPP value proposition” to “VPP Value Proposition,” capitalizing every word. Do not alter any other text or content. Output the recreated graphic at the exact same dimensions as the source image."/>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4629"/>
                    <a:stretch>
                      <a:fillRect/>
                    </a:stretch>
                  </pic:blipFill>
                  <pic:spPr bwMode="auto">
                    <a:xfrm>
                      <a:off x="0" y="0"/>
                      <a:ext cx="5566952" cy="2629376"/>
                    </a:xfrm>
                    <a:prstGeom prst="rect">
                      <a:avLst/>
                    </a:prstGeom>
                    <a:noFill/>
                    <a:ln>
                      <a:noFill/>
                    </a:ln>
                    <a:extLst>
                      <a:ext uri="{53640926-AAD7-44D8-BBD7-CCE9431645EC}">
                        <a14:shadowObscured xmlns:a14="http://schemas.microsoft.com/office/drawing/2010/main"/>
                      </a:ext>
                    </a:extLst>
                  </pic:spPr>
                </pic:pic>
              </a:graphicData>
            </a:graphic>
          </wp:inline>
        </w:drawing>
      </w:r>
    </w:p>
    <w:p w14:paraId="18D2F026" w14:textId="0D160C8D" w:rsidR="001C55E7" w:rsidRPr="003D6FEC" w:rsidRDefault="00591D9C" w:rsidP="003D6FEC">
      <w:pPr>
        <w:spacing w:after="240"/>
        <w:rPr>
          <w:i/>
          <w:color w:val="595959" w:themeColor="text1" w:themeTint="A6"/>
          <w:sz w:val="20"/>
          <w:szCs w:val="20"/>
        </w:rPr>
      </w:pPr>
      <w:r>
        <w:rPr>
          <w:i/>
          <w:color w:val="595959" w:themeColor="text1" w:themeTint="A6"/>
          <w:sz w:val="20"/>
          <w:szCs w:val="20"/>
        </w:rPr>
        <w:t xml:space="preserve">Figure </w:t>
      </w:r>
      <w:r w:rsidR="00FE29DE">
        <w:rPr>
          <w:i/>
          <w:color w:val="595959" w:themeColor="text1" w:themeTint="A6"/>
          <w:sz w:val="20"/>
          <w:szCs w:val="20"/>
        </w:rPr>
        <w:t>2</w:t>
      </w:r>
      <w:r>
        <w:rPr>
          <w:i/>
          <w:color w:val="595959" w:themeColor="text1" w:themeTint="A6"/>
          <w:sz w:val="20"/>
          <w:szCs w:val="20"/>
        </w:rPr>
        <w:t>:</w:t>
      </w:r>
      <w:r w:rsidR="00CF306A">
        <w:rPr>
          <w:i/>
          <w:color w:val="595959" w:themeColor="text1" w:themeTint="A6"/>
          <w:sz w:val="20"/>
          <w:szCs w:val="20"/>
        </w:rPr>
        <w:t xml:space="preserve"> VPP Value Proposition. Source: DOE Virtual Power Plant Liftoff report</w:t>
      </w:r>
      <w:r w:rsidR="001C55E7" w:rsidRPr="003D6FEC">
        <w:rPr>
          <w:i/>
          <w:color w:val="595959" w:themeColor="text1" w:themeTint="A6"/>
          <w:sz w:val="20"/>
          <w:szCs w:val="20"/>
        </w:rPr>
        <w:t xml:space="preserve">. </w:t>
      </w:r>
    </w:p>
    <w:p w14:paraId="3517A014" w14:textId="7BC1E3F5" w:rsidR="00BC6ECA" w:rsidRDefault="00BC6ECA" w:rsidP="00C032B6">
      <w:pPr>
        <w:spacing w:after="240"/>
        <w:rPr>
          <w:color w:val="000000" w:themeColor="text1"/>
        </w:rPr>
      </w:pPr>
      <w:r>
        <w:rPr>
          <w:color w:val="000000" w:themeColor="text1"/>
        </w:rPr>
        <w:t xml:space="preserve">Aggregated DERs can </w:t>
      </w:r>
      <w:r w:rsidRPr="00EB1E4C">
        <w:rPr>
          <w:color w:val="000000" w:themeColor="text1"/>
        </w:rPr>
        <w:t xml:space="preserve">provide grid services at </w:t>
      </w:r>
      <w:r>
        <w:rPr>
          <w:color w:val="000000" w:themeColor="text1"/>
        </w:rPr>
        <w:t xml:space="preserve">both </w:t>
      </w:r>
      <w:r w:rsidRPr="00EB1E4C">
        <w:rPr>
          <w:color w:val="000000" w:themeColor="text1"/>
        </w:rPr>
        <w:t>the retail level through utility programs and</w:t>
      </w:r>
      <w:r>
        <w:rPr>
          <w:color w:val="000000" w:themeColor="text1"/>
        </w:rPr>
        <w:t xml:space="preserve"> </w:t>
      </w:r>
      <w:r w:rsidRPr="00EB1E4C">
        <w:rPr>
          <w:color w:val="000000" w:themeColor="text1"/>
        </w:rPr>
        <w:t xml:space="preserve">at the wholesale level </w:t>
      </w:r>
      <w:r>
        <w:rPr>
          <w:color w:val="000000" w:themeColor="text1"/>
        </w:rPr>
        <w:t>(for Virginia, this is the PJM wholesale market)</w:t>
      </w:r>
      <w:r w:rsidRPr="00EB1E4C">
        <w:rPr>
          <w:color w:val="000000" w:themeColor="text1"/>
        </w:rPr>
        <w:t>.</w:t>
      </w:r>
      <w:r>
        <w:rPr>
          <w:color w:val="000000" w:themeColor="text1"/>
        </w:rPr>
        <w:t xml:space="preserve"> </w:t>
      </w:r>
      <w:r w:rsidR="003C15C9">
        <w:rPr>
          <w:color w:val="000000" w:themeColor="text1"/>
        </w:rPr>
        <w:t xml:space="preserve">In wholesale markets, there is an important distinction between DERs that can inject energy into the grid (e.g. energy storage, EVs), which are the subject of FERC Order 2222, and DERs that do not inject energy </w:t>
      </w:r>
      <w:r w:rsidR="00A6754A">
        <w:rPr>
          <w:color w:val="000000" w:themeColor="text1"/>
        </w:rPr>
        <w:t>and</w:t>
      </w:r>
      <w:r w:rsidR="003C15C9">
        <w:rPr>
          <w:color w:val="000000" w:themeColor="text1"/>
        </w:rPr>
        <w:t xml:space="preserve"> are just modifying load (e.g. smart thermostats, automated load controls) and thus, typically participate in markets through long-established demand response pathways.  Because the demand response rules already allow DER participation in the wholesale markets, and because the statute requires an Order 2222 roadmap, this Task Force focuses on aggregations of injecting resources.</w:t>
      </w:r>
    </w:p>
    <w:p w14:paraId="7F741006" w14:textId="5F0B5BB5" w:rsidR="00A43F99" w:rsidRDefault="00D7116C" w:rsidP="00A43F99">
      <w:pPr>
        <w:spacing w:after="200"/>
        <w:jc w:val="both"/>
      </w:pPr>
      <w:r>
        <w:rPr>
          <w:color w:val="3D4A5C"/>
        </w:rPr>
        <w:t>M</w:t>
      </w:r>
      <w:r w:rsidR="00A43F99">
        <w:t xml:space="preserve">any states </w:t>
      </w:r>
      <w:r>
        <w:t xml:space="preserve">and utilities </w:t>
      </w:r>
      <w:r w:rsidR="00A43F99">
        <w:t>are already seeing the value of deploying and aggregating DERs to address grid needs at lower costs</w:t>
      </w:r>
      <w:r w:rsidR="00B8535C">
        <w:t xml:space="preserve"> </w:t>
      </w:r>
      <w:r w:rsidR="005567B8">
        <w:t>(see Case Study 1</w:t>
      </w:r>
      <w:r w:rsidR="00223E78">
        <w:t xml:space="preserve"> and Case Study 2</w:t>
      </w:r>
      <w:r w:rsidR="005567B8">
        <w:t>)</w:t>
      </w:r>
      <w:r w:rsidR="0024178D" w:rsidRPr="0041421A">
        <w:t xml:space="preserve">. </w:t>
      </w:r>
      <w:r w:rsidR="00F71D7F">
        <w:t>Analysis from the Brattle Group</w:t>
      </w:r>
      <w:r w:rsidR="005C7DFA">
        <w:t xml:space="preserve">, a </w:t>
      </w:r>
      <w:r w:rsidR="007158EA">
        <w:t>premier</w:t>
      </w:r>
      <w:r w:rsidR="005C7DFA">
        <w:t xml:space="preserve"> global economics consulting firm</w:t>
      </w:r>
      <w:r w:rsidR="00871521">
        <w:t xml:space="preserve"> that has</w:t>
      </w:r>
      <w:r w:rsidR="00816210">
        <w:t xml:space="preserve"> shaped</w:t>
      </w:r>
      <w:r w:rsidR="000315C2">
        <w:t xml:space="preserve"> regulatory policy and market design across the US</w:t>
      </w:r>
      <w:r w:rsidR="005C7DFA">
        <w:t>,</w:t>
      </w:r>
      <w:r w:rsidR="0024178D" w:rsidRPr="0041421A">
        <w:t xml:space="preserve"> </w:t>
      </w:r>
      <w:r w:rsidR="00EC569B">
        <w:t>estimates</w:t>
      </w:r>
      <w:r w:rsidR="0024178D" w:rsidRPr="0041421A">
        <w:t xml:space="preserve"> that improving grid utilization through DERs and load flexibility could save customers of vertically integrated U.S. utilities </w:t>
      </w:r>
      <w:r w:rsidR="0024178D" w:rsidRPr="003C1B40">
        <w:t>$110–170 billion over the next decade</w:t>
      </w:r>
      <w:r w:rsidR="007158EA">
        <w:t>.</w:t>
      </w:r>
      <w:r w:rsidR="0024178D" w:rsidRPr="003C1B40">
        <w:t xml:space="preserve"> </w:t>
      </w:r>
      <w:r w:rsidR="007158EA">
        <w:t>M</w:t>
      </w:r>
      <w:r w:rsidR="0024178D" w:rsidRPr="003C1B40">
        <w:t xml:space="preserve">odeling a mid-sized utility </w:t>
      </w:r>
      <w:r w:rsidR="00EC569B">
        <w:t>interconnecting</w:t>
      </w:r>
      <w:r w:rsidR="0024178D" w:rsidRPr="003C1B40">
        <w:t xml:space="preserve"> </w:t>
      </w:r>
      <w:r w:rsidR="004D71EB">
        <w:t>one gigawatt</w:t>
      </w:r>
      <w:r w:rsidR="0024178D" w:rsidRPr="003C1B40">
        <w:t xml:space="preserve"> </w:t>
      </w:r>
      <w:r w:rsidR="004D71EB">
        <w:t>(</w:t>
      </w:r>
      <w:r w:rsidR="0024178D" w:rsidRPr="003C1B40">
        <w:t>GW</w:t>
      </w:r>
      <w:r w:rsidR="004D71EB">
        <w:t>)</w:t>
      </w:r>
      <w:r w:rsidR="0024178D" w:rsidRPr="003C1B40">
        <w:t xml:space="preserve"> of new load, Brattle found that meeting half of that growth through self-supply, peak-hour flexibility, and a 500 MW DER portfolio reduced average rates by 3.4% and increased system utilization by 10%, while also shortening large-load interconnection timelines from five-to-ten years to one-to-five years</w:t>
      </w:r>
      <w:r w:rsidR="00475996">
        <w:t>.</w:t>
      </w:r>
      <w:r w:rsidR="003D4413">
        <w:rPr>
          <w:rStyle w:val="FootnoteReference"/>
        </w:rPr>
        <w:footnoteReference w:id="19"/>
      </w:r>
      <w:r w:rsidR="0024178D" w:rsidRPr="0041421A">
        <w:t xml:space="preserve"> A separate Brattle study of California's Demand Side Grid Support program projected $28–206 million in net system cost savings from 2025–2028 as statewide distributed-storage capacity nearly doubles.</w:t>
      </w:r>
      <w:r w:rsidR="006E6C9E">
        <w:rPr>
          <w:rStyle w:val="FootnoteReference"/>
        </w:rPr>
        <w:footnoteReference w:id="20"/>
      </w:r>
      <w:r w:rsidR="0024178D" w:rsidRPr="0041421A">
        <w:t xml:space="preserve"> </w:t>
      </w:r>
      <w:r w:rsidR="00653B5B">
        <w:t xml:space="preserve">Importantly, </w:t>
      </w:r>
      <w:r w:rsidR="008B3274">
        <w:t xml:space="preserve">recent </w:t>
      </w:r>
      <w:r w:rsidR="00B023A9">
        <w:t>local</w:t>
      </w:r>
      <w:r w:rsidR="008750B1">
        <w:t>ly focused</w:t>
      </w:r>
      <w:r w:rsidR="00B023A9">
        <w:t xml:space="preserve"> analysis points to the same conclusion</w:t>
      </w:r>
      <w:r w:rsidR="006E5A5E">
        <w:t xml:space="preserve"> </w:t>
      </w:r>
      <w:r w:rsidR="00592AB5">
        <w:t>for</w:t>
      </w:r>
      <w:r w:rsidR="006E5A5E">
        <w:t xml:space="preserve"> Virginia</w:t>
      </w:r>
      <w:r w:rsidR="00B023A9">
        <w:t xml:space="preserve">. </w:t>
      </w:r>
      <w:r w:rsidR="00EF5533">
        <w:t xml:space="preserve">A 2026 study prepared for Solar United Neighbors estimates that the Commonwealth could realize a potential of $288.2 million in savings </w:t>
      </w:r>
      <w:r w:rsidR="005370EC">
        <w:t xml:space="preserve">by </w:t>
      </w:r>
      <w:r w:rsidR="00EF5533">
        <w:t xml:space="preserve">2028 </w:t>
      </w:r>
      <w:r w:rsidR="00650DA3">
        <w:t>through</w:t>
      </w:r>
      <w:r w:rsidR="00EF5533">
        <w:t xml:space="preserve"> adopting a portfolio based on existing DER statutory requirements.</w:t>
      </w:r>
      <w:r w:rsidR="00EF5533">
        <w:rPr>
          <w:rStyle w:val="FootnoteReference"/>
        </w:rPr>
        <w:footnoteReference w:id="21"/>
      </w:r>
      <w:r w:rsidR="00EF5533">
        <w:t xml:space="preserve"> </w:t>
      </w:r>
    </w:p>
    <w:p w14:paraId="4D186864" w14:textId="77777777" w:rsidR="00A43F99" w:rsidRPr="002170CA" w:rsidRDefault="00A43F99" w:rsidP="00A43F99">
      <w:pPr>
        <w:pStyle w:val="Caption"/>
        <w:keepNext/>
        <w:spacing w:before="120" w:after="120"/>
        <w:jc w:val="center"/>
        <w:rPr>
          <w:b/>
          <w:bCs/>
          <w:i w:val="0"/>
          <w:iCs w:val="0"/>
          <w:color w:val="000000" w:themeColor="text1"/>
          <w:sz w:val="20"/>
          <w:szCs w:val="20"/>
        </w:rPr>
      </w:pPr>
      <w:r w:rsidRPr="00784C77">
        <w:rPr>
          <w:b/>
          <w:bCs/>
          <w:i w:val="0"/>
          <w:iCs w:val="0"/>
          <w:color w:val="000000" w:themeColor="text1"/>
          <w:sz w:val="20"/>
          <w:szCs w:val="20"/>
        </w:rPr>
        <w:t xml:space="preserve">Case Study </w:t>
      </w:r>
      <w:r w:rsidRPr="00784C77">
        <w:rPr>
          <w:b/>
          <w:bCs/>
          <w:i w:val="0"/>
          <w:iCs w:val="0"/>
          <w:color w:val="000000" w:themeColor="text1"/>
          <w:sz w:val="20"/>
          <w:szCs w:val="20"/>
        </w:rPr>
        <w:fldChar w:fldCharType="begin"/>
      </w:r>
      <w:r w:rsidRPr="00784C77">
        <w:rPr>
          <w:b/>
          <w:bCs/>
          <w:i w:val="0"/>
          <w:iCs w:val="0"/>
          <w:color w:val="000000" w:themeColor="text1"/>
          <w:sz w:val="20"/>
          <w:szCs w:val="20"/>
        </w:rPr>
        <w:instrText xml:space="preserve"> SEQ Case_Study \* ARABIC </w:instrText>
      </w:r>
      <w:r w:rsidRPr="00784C77">
        <w:rPr>
          <w:b/>
          <w:bCs/>
          <w:i w:val="0"/>
          <w:iCs w:val="0"/>
          <w:color w:val="000000" w:themeColor="text1"/>
          <w:sz w:val="20"/>
          <w:szCs w:val="20"/>
        </w:rPr>
        <w:fldChar w:fldCharType="separate"/>
      </w:r>
      <w:r>
        <w:rPr>
          <w:b/>
          <w:bCs/>
          <w:i w:val="0"/>
          <w:iCs w:val="0"/>
          <w:noProof/>
          <w:color w:val="000000" w:themeColor="text1"/>
          <w:sz w:val="20"/>
          <w:szCs w:val="20"/>
        </w:rPr>
        <w:t>1</w:t>
      </w:r>
      <w:r w:rsidRPr="00784C77">
        <w:rPr>
          <w:b/>
          <w:bCs/>
          <w:i w:val="0"/>
          <w:iCs w:val="0"/>
          <w:color w:val="000000" w:themeColor="text1"/>
          <w:sz w:val="20"/>
          <w:szCs w:val="20"/>
        </w:rPr>
        <w:fldChar w:fldCharType="end"/>
      </w:r>
      <w:r w:rsidRPr="00784C77">
        <w:rPr>
          <w:b/>
          <w:bCs/>
          <w:i w:val="0"/>
          <w:iCs w:val="0"/>
          <w:color w:val="000000" w:themeColor="text1"/>
          <w:sz w:val="20"/>
          <w:szCs w:val="20"/>
        </w:rPr>
        <w:t xml:space="preserve">: </w:t>
      </w:r>
      <w:r>
        <w:rPr>
          <w:b/>
          <w:bCs/>
          <w:i w:val="0"/>
          <w:iCs w:val="0"/>
          <w:color w:val="000000" w:themeColor="text1"/>
          <w:sz w:val="20"/>
          <w:szCs w:val="20"/>
        </w:rPr>
        <w:t xml:space="preserve">Customer Savings Realized Through </w:t>
      </w:r>
      <w:r w:rsidRPr="00784C77">
        <w:rPr>
          <w:b/>
          <w:bCs/>
          <w:i w:val="0"/>
          <w:iCs w:val="0"/>
          <w:color w:val="000000" w:themeColor="text1"/>
          <w:sz w:val="20"/>
          <w:szCs w:val="20"/>
        </w:rPr>
        <w:t>Green Mountain Power</w:t>
      </w:r>
      <w:r>
        <w:rPr>
          <w:b/>
          <w:bCs/>
          <w:i w:val="0"/>
          <w:iCs w:val="0"/>
          <w:color w:val="000000" w:themeColor="text1"/>
          <w:sz w:val="20"/>
          <w:szCs w:val="20"/>
        </w:rPr>
        <w:t>’s</w:t>
      </w:r>
      <w:r w:rsidRPr="00784C77">
        <w:rPr>
          <w:b/>
          <w:bCs/>
          <w:i w:val="0"/>
          <w:iCs w:val="0"/>
          <w:color w:val="000000" w:themeColor="text1"/>
          <w:sz w:val="20"/>
          <w:szCs w:val="20"/>
        </w:rPr>
        <w:t xml:space="preserve"> VPP</w:t>
      </w:r>
      <w:r>
        <w:rPr>
          <w:rStyle w:val="FootnoteReference"/>
          <w:b/>
          <w:bCs/>
          <w:i w:val="0"/>
          <w:iCs w:val="0"/>
          <w:color w:val="000000" w:themeColor="text1"/>
          <w:sz w:val="20"/>
          <w:szCs w:val="20"/>
        </w:rPr>
        <w:footnoteReference w:id="22"/>
      </w:r>
    </w:p>
    <w:p w14:paraId="6BCF03F1" w14:textId="76743548" w:rsidR="00DB61AA" w:rsidRDefault="00A43F99" w:rsidP="00A83026">
      <w:pPr>
        <w:spacing w:after="200"/>
        <w:jc w:val="both"/>
      </w:pPr>
      <w:r w:rsidRPr="00960C0B">
        <w:rPr>
          <w:b/>
          <w:bCs/>
          <w:noProof/>
        </w:rPr>
        <mc:AlternateContent>
          <mc:Choice Requires="wps">
            <w:drawing>
              <wp:inline distT="0" distB="0" distL="0" distR="0" wp14:anchorId="3CEDF1E3" wp14:editId="0F6559D9">
                <wp:extent cx="5887720" cy="1404620"/>
                <wp:effectExtent l="0" t="0" r="17780" b="20320"/>
                <wp:docPr id="15910070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7720" cy="1404620"/>
                        </a:xfrm>
                        <a:prstGeom prst="rect">
                          <a:avLst/>
                        </a:prstGeom>
                        <a:solidFill>
                          <a:schemeClr val="bg1">
                            <a:lumMod val="85000"/>
                          </a:schemeClr>
                        </a:solidFill>
                        <a:ln w="9525">
                          <a:solidFill>
                            <a:srgbClr val="000000"/>
                          </a:solidFill>
                          <a:miter lim="800000"/>
                          <a:headEnd/>
                          <a:tailEnd/>
                        </a:ln>
                      </wps:spPr>
                      <wps:txbx>
                        <w:txbxContent>
                          <w:p w14:paraId="358F14A9" w14:textId="77777777" w:rsidR="00A43F99" w:rsidRPr="00784C77" w:rsidRDefault="00A43F99" w:rsidP="00A43F99">
                            <w:pPr>
                              <w:rPr>
                                <w:sz w:val="20"/>
                                <w:szCs w:val="20"/>
                              </w:rPr>
                            </w:pPr>
                            <w:r w:rsidRPr="00784C77">
                              <w:rPr>
                                <w:b/>
                                <w:bCs/>
                                <w:sz w:val="20"/>
                                <w:szCs w:val="20"/>
                              </w:rPr>
                              <w:t xml:space="preserve">Green Mountain Power (Vermont) — Utility-Operated Residential Battery VPP: </w:t>
                            </w:r>
                            <w:r>
                              <w:rPr>
                                <w:sz w:val="20"/>
                                <w:szCs w:val="20"/>
                              </w:rPr>
                              <w:t>Through its</w:t>
                            </w:r>
                            <w:r w:rsidRPr="00784C77">
                              <w:rPr>
                                <w:sz w:val="20"/>
                                <w:szCs w:val="20"/>
                              </w:rPr>
                              <w:t xml:space="preserve"> "bring your own device" and tariffed battery-lease programs</w:t>
                            </w:r>
                            <w:r>
                              <w:rPr>
                                <w:sz w:val="20"/>
                                <w:szCs w:val="20"/>
                              </w:rPr>
                              <w:t>, GMP</w:t>
                            </w:r>
                            <w:r w:rsidRPr="00784C77">
                              <w:rPr>
                                <w:sz w:val="20"/>
                                <w:szCs w:val="20"/>
                              </w:rPr>
                              <w:t xml:space="preserve"> ha</w:t>
                            </w:r>
                            <w:r>
                              <w:rPr>
                                <w:sz w:val="20"/>
                                <w:szCs w:val="20"/>
                              </w:rPr>
                              <w:t>s</w:t>
                            </w:r>
                            <w:r w:rsidRPr="00784C77">
                              <w:rPr>
                                <w:sz w:val="20"/>
                                <w:szCs w:val="20"/>
                              </w:rPr>
                              <w:t xml:space="preserve"> aggregated more than 10,000 residential batteries and utility-scale storage into a VPP that reached 110 MW </w:t>
                            </w:r>
                            <w:r>
                              <w:rPr>
                                <w:sz w:val="20"/>
                                <w:szCs w:val="20"/>
                              </w:rPr>
                              <w:t>as of July 2026</w:t>
                            </w:r>
                            <w:r w:rsidRPr="00784C77">
                              <w:rPr>
                                <w:sz w:val="20"/>
                                <w:szCs w:val="20"/>
                              </w:rPr>
                              <w:t xml:space="preserve">. GMP reports $11 million in customer savings in 2025, and in July of 2026 the utility </w:t>
                            </w:r>
                            <w:r w:rsidRPr="00784C77">
                              <w:rPr>
                                <w:b/>
                                <w:bCs/>
                                <w:sz w:val="20"/>
                                <w:szCs w:val="20"/>
                              </w:rPr>
                              <w:t xml:space="preserve">saved customers approximately $6 million during a single July 2026 heat event </w:t>
                            </w:r>
                            <w:r w:rsidRPr="00AF7482">
                              <w:rPr>
                                <w:sz w:val="20"/>
                                <w:szCs w:val="20"/>
                              </w:rPr>
                              <w:t>by dispatching roughly 90 MW of stored energy</w:t>
                            </w:r>
                            <w:r w:rsidRPr="00784C77">
                              <w:rPr>
                                <w:sz w:val="20"/>
                                <w:szCs w:val="20"/>
                              </w:rPr>
                              <w:t xml:space="preserve"> instead of </w:t>
                            </w:r>
                            <w:r>
                              <w:rPr>
                                <w:sz w:val="20"/>
                                <w:szCs w:val="20"/>
                              </w:rPr>
                              <w:t>purchasing more expensive peak power. GMP’s successful aggregation of DERs</w:t>
                            </w:r>
                            <w:r w:rsidRPr="00784C77">
                              <w:rPr>
                                <w:sz w:val="20"/>
                                <w:szCs w:val="20"/>
                              </w:rPr>
                              <w:t xml:space="preserve"> </w:t>
                            </w:r>
                            <w:r>
                              <w:rPr>
                                <w:sz w:val="20"/>
                                <w:szCs w:val="20"/>
                              </w:rPr>
                              <w:t>has also enabled</w:t>
                            </w:r>
                            <w:r w:rsidRPr="00784C77">
                              <w:rPr>
                                <w:sz w:val="20"/>
                                <w:szCs w:val="20"/>
                              </w:rPr>
                              <w:t xml:space="preserve"> </w:t>
                            </w:r>
                            <w:r>
                              <w:rPr>
                                <w:sz w:val="20"/>
                                <w:szCs w:val="20"/>
                              </w:rPr>
                              <w:t>the utility to</w:t>
                            </w:r>
                            <w:r w:rsidRPr="00784C77">
                              <w:rPr>
                                <w:sz w:val="20"/>
                                <w:szCs w:val="20"/>
                              </w:rPr>
                              <w:t xml:space="preserve"> retire two peaker plants.</w:t>
                            </w:r>
                          </w:p>
                        </w:txbxContent>
                      </wps:txbx>
                      <wps:bodyPr rot="0" vert="horz" wrap="square" lIns="91440" tIns="45720" rIns="91440" bIns="45720" anchor="t" anchorCtr="0">
                        <a:spAutoFit/>
                      </wps:bodyPr>
                    </wps:wsp>
                  </a:graphicData>
                </a:graphic>
              </wp:inline>
            </w:drawing>
          </mc:Choice>
          <mc:Fallback>
            <w:pict>
              <v:shapetype w14:anchorId="3CEDF1E3" id="_x0000_t202" coordsize="21600,21600" o:spt="202" path="m,l,21600r21600,l21600,xe">
                <v:stroke joinstyle="miter"/>
                <v:path gradientshapeok="t" o:connecttype="rect"/>
              </v:shapetype>
              <v:shape id="Text Box 2" o:spid="_x0000_s1026" type="#_x0000_t202" style="width:463.6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" fillcolor="#d8d8d8 [2732]">
                <v:textbox style="mso-fit-shape-to-text:t">
                  <w:txbxContent>
                    <w:p w14:paraId="358F14A9" w14:textId="77777777" w:rsidR="00A43F99" w:rsidRPr="00784C77" w:rsidRDefault="00A43F99" w:rsidP="00A43F99">
                      <w:pPr>
                        <w:rPr>
                          <w:sz w:val="20"/>
                          <w:szCs w:val="20"/>
                        </w:rPr>
                      </w:pPr>
                      <w:r w:rsidRPr="00784C77">
                        <w:rPr>
                          <w:b/>
                          <w:bCs/>
                          <w:sz w:val="20"/>
                          <w:szCs w:val="20"/>
                        </w:rPr>
                        <w:t xml:space="preserve">Green Mountain Power (Vermont) — Utility-Operated Residential Battery VPP: </w:t>
                      </w:r>
                      <w:r>
                        <w:rPr>
                          <w:sz w:val="20"/>
                          <w:szCs w:val="20"/>
                        </w:rPr>
                        <w:t>Through its</w:t>
                      </w:r>
                      <w:r w:rsidRPr="00784C77">
                        <w:rPr>
                          <w:sz w:val="20"/>
                          <w:szCs w:val="20"/>
                        </w:rPr>
                        <w:t xml:space="preserve"> "bring your own device" and tariffed battery-lease programs</w:t>
                      </w:r>
                      <w:r>
                        <w:rPr>
                          <w:sz w:val="20"/>
                          <w:szCs w:val="20"/>
                        </w:rPr>
                        <w:t>, GMP</w:t>
                      </w:r>
                      <w:r w:rsidRPr="00784C77">
                        <w:rPr>
                          <w:sz w:val="20"/>
                          <w:szCs w:val="20"/>
                        </w:rPr>
                        <w:t xml:space="preserve"> ha</w:t>
                      </w:r>
                      <w:r>
                        <w:rPr>
                          <w:sz w:val="20"/>
                          <w:szCs w:val="20"/>
                        </w:rPr>
                        <w:t>s</w:t>
                      </w:r>
                      <w:r w:rsidRPr="00784C77">
                        <w:rPr>
                          <w:sz w:val="20"/>
                          <w:szCs w:val="20"/>
                        </w:rPr>
                        <w:t xml:space="preserve"> aggregated more than 10,000 residential batteries and utility-scale storage into a VPP that reached 110 MW </w:t>
                      </w:r>
                      <w:r>
                        <w:rPr>
                          <w:sz w:val="20"/>
                          <w:szCs w:val="20"/>
                        </w:rPr>
                        <w:t>as of July 2026</w:t>
                      </w:r>
                      <w:r w:rsidRPr="00784C77">
                        <w:rPr>
                          <w:sz w:val="20"/>
                          <w:szCs w:val="20"/>
                        </w:rPr>
                        <w:t xml:space="preserve">. GMP reports $11 million in customer savings in 2025, and in July of 2026 the utility </w:t>
                      </w:r>
                      <w:r w:rsidRPr="00784C77">
                        <w:rPr>
                          <w:b/>
                          <w:bCs/>
                          <w:sz w:val="20"/>
                          <w:szCs w:val="20"/>
                        </w:rPr>
                        <w:t xml:space="preserve">saved customers approximately $6 million during a single July 2026 heat event </w:t>
                      </w:r>
                      <w:r w:rsidRPr="00AF7482">
                        <w:rPr>
                          <w:sz w:val="20"/>
                          <w:szCs w:val="20"/>
                        </w:rPr>
                        <w:t>by dispatching roughly 90 MW of stored energy</w:t>
                      </w:r>
                      <w:r w:rsidRPr="00784C77">
                        <w:rPr>
                          <w:sz w:val="20"/>
                          <w:szCs w:val="20"/>
                        </w:rPr>
                        <w:t xml:space="preserve"> instead of </w:t>
                      </w:r>
                      <w:r>
                        <w:rPr>
                          <w:sz w:val="20"/>
                          <w:szCs w:val="20"/>
                        </w:rPr>
                        <w:t>purchasing more expensive peak power. GMP’s successful aggregation of DERs</w:t>
                      </w:r>
                      <w:r w:rsidRPr="00784C77">
                        <w:rPr>
                          <w:sz w:val="20"/>
                          <w:szCs w:val="20"/>
                        </w:rPr>
                        <w:t xml:space="preserve"> </w:t>
                      </w:r>
                      <w:r>
                        <w:rPr>
                          <w:sz w:val="20"/>
                          <w:szCs w:val="20"/>
                        </w:rPr>
                        <w:t>has also enabled</w:t>
                      </w:r>
                      <w:r w:rsidRPr="00784C77">
                        <w:rPr>
                          <w:sz w:val="20"/>
                          <w:szCs w:val="20"/>
                        </w:rPr>
                        <w:t xml:space="preserve"> </w:t>
                      </w:r>
                      <w:r>
                        <w:rPr>
                          <w:sz w:val="20"/>
                          <w:szCs w:val="20"/>
                        </w:rPr>
                        <w:t>the utility to</w:t>
                      </w:r>
                      <w:r w:rsidRPr="00784C77">
                        <w:rPr>
                          <w:sz w:val="20"/>
                          <w:szCs w:val="20"/>
                        </w:rPr>
                        <w:t xml:space="preserve"> retire two peaker plants.</w:t>
                      </w:r>
                    </w:p>
                  </w:txbxContent>
                </v:textbox>
                <w10:anchorlock/>
              </v:shape>
            </w:pict>
          </mc:Fallback>
        </mc:AlternateContent>
      </w:r>
    </w:p>
    <w:p w14:paraId="4115AFFF" w14:textId="77777777" w:rsidR="00B12827" w:rsidRPr="0095251F" w:rsidRDefault="00B12827" w:rsidP="00B12827">
      <w:pPr>
        <w:pStyle w:val="Heading2"/>
      </w:pPr>
      <w:bookmarkStart w:id="540" w:name="_Toc250995900"/>
      <w:bookmarkStart w:id="541" w:name="_Toc814740115"/>
      <w:bookmarkStart w:id="542" w:name="_Toc343488545"/>
      <w:bookmarkStart w:id="543" w:name="_Toc1494373554"/>
      <w:bookmarkStart w:id="544" w:name="_Toc21198364"/>
      <w:bookmarkStart w:id="545" w:name="_Toc1857287862"/>
      <w:bookmarkStart w:id="546" w:name="_Toc548225818"/>
      <w:bookmarkStart w:id="547" w:name="_Toc1466377703"/>
      <w:bookmarkStart w:id="548" w:name="_Toc52681345"/>
      <w:bookmarkStart w:id="549" w:name="_Toc1730931560"/>
      <w:bookmarkStart w:id="550" w:name="_Toc526752031"/>
      <w:bookmarkStart w:id="551" w:name="_Toc324747615"/>
      <w:bookmarkStart w:id="552" w:name="_Toc1525432908"/>
      <w:bookmarkStart w:id="553" w:name="_Toc1644067223"/>
      <w:bookmarkStart w:id="554" w:name="_Toc1721564191"/>
      <w:bookmarkStart w:id="555" w:name="_Toc1066574253"/>
      <w:bookmarkStart w:id="556" w:name="_Toc1186063952"/>
      <w:bookmarkStart w:id="557" w:name="_Toc1976891602"/>
      <w:bookmarkStart w:id="558" w:name="_Toc17822635"/>
      <w:bookmarkStart w:id="559" w:name="_Toc484953892"/>
      <w:bookmarkStart w:id="560" w:name="_Toc14088670"/>
      <w:bookmarkStart w:id="561" w:name="_Toc1050462787"/>
      <w:bookmarkStart w:id="562" w:name="_Toc174645266"/>
      <w:bookmarkStart w:id="563" w:name="_Toc389041425"/>
      <w:bookmarkStart w:id="564" w:name="_Toc1552570443"/>
      <w:bookmarkStart w:id="565" w:name="_Toc389994524"/>
      <w:bookmarkStart w:id="566" w:name="_Toc808305991"/>
      <w:bookmarkStart w:id="567" w:name="_Toc1123497877"/>
      <w:bookmarkStart w:id="568" w:name="_Toc1240591950"/>
      <w:bookmarkStart w:id="569" w:name="_Toc153702705"/>
      <w:bookmarkStart w:id="570" w:name="_Toc1333184387"/>
      <w:bookmarkStart w:id="571" w:name="_Toc700360714"/>
      <w:bookmarkStart w:id="572" w:name="_Toc891468419"/>
      <w:bookmarkStart w:id="573" w:name="_Toc1394521639"/>
      <w:bookmarkStart w:id="574" w:name="_Toc2131312829"/>
      <w:bookmarkStart w:id="575" w:name="_Toc1213286377"/>
      <w:bookmarkStart w:id="576" w:name="_Toc401104977"/>
      <w:bookmarkStart w:id="577" w:name="_Toc796188098"/>
      <w:bookmarkStart w:id="578" w:name="_Toc1595649161"/>
      <w:bookmarkStart w:id="579" w:name="_Toc1926908420"/>
      <w:bookmarkStart w:id="580" w:name="_Toc488597546"/>
      <w:bookmarkStart w:id="581" w:name="_Toc506126728"/>
      <w:bookmarkStart w:id="582" w:name="_Toc1311551973"/>
      <w:bookmarkStart w:id="583" w:name="_Toc1101443684"/>
      <w:bookmarkStart w:id="584" w:name="_Toc1264489168"/>
      <w:bookmarkStart w:id="585" w:name="_Toc1029487636"/>
      <w:bookmarkStart w:id="586" w:name="_Toc1926994076"/>
      <w:bookmarkStart w:id="587" w:name="_Toc34839736"/>
      <w:bookmarkStart w:id="588" w:name="_Toc1721159635"/>
      <w:bookmarkStart w:id="589" w:name="_Toc1627170928"/>
      <w:bookmarkStart w:id="590" w:name="_Toc917482030"/>
      <w:bookmarkStart w:id="591" w:name="_Toc1183733453"/>
      <w:bookmarkStart w:id="592" w:name="_Toc1400832269"/>
      <w:bookmarkStart w:id="593" w:name="_Toc313515229"/>
      <w:bookmarkStart w:id="594" w:name="_Toc1930549199"/>
      <w:bookmarkStart w:id="595" w:name="_Toc1535859985"/>
      <w:bookmarkStart w:id="596" w:name="_Toc1244165066"/>
      <w:bookmarkStart w:id="597" w:name="_Toc1306166737"/>
      <w:bookmarkStart w:id="598" w:name="_Toc1708862235"/>
      <w:bookmarkStart w:id="599" w:name="_Toc1074398867"/>
      <w:bookmarkStart w:id="600" w:name="_Toc1782516694"/>
      <w:bookmarkStart w:id="601" w:name="_Toc63993234"/>
      <w:bookmarkStart w:id="602" w:name="_Toc1961982664"/>
      <w:bookmarkStart w:id="603" w:name="_Toc1987300577"/>
      <w:bookmarkStart w:id="604" w:name="_Toc769352499"/>
      <w:bookmarkStart w:id="605" w:name="_Toc842369194"/>
      <w:bookmarkStart w:id="606" w:name="_Toc82377487"/>
      <w:bookmarkStart w:id="607" w:name="_Toc1308224699"/>
      <w:bookmarkStart w:id="608" w:name="_Toc319487432"/>
      <w:bookmarkStart w:id="609" w:name="_Toc719128585"/>
      <w:bookmarkStart w:id="610" w:name="_Toc429146019"/>
      <w:bookmarkStart w:id="611" w:name="_Toc1120878066"/>
      <w:bookmarkStart w:id="612" w:name="_Toc1012564900"/>
      <w:bookmarkStart w:id="613" w:name="_Toc1796497132"/>
      <w:bookmarkStart w:id="614" w:name="_Toc674656291"/>
      <w:bookmarkStart w:id="615" w:name="_Toc1789644778"/>
      <w:bookmarkStart w:id="616" w:name="_Toc991115451"/>
      <w:bookmarkStart w:id="617" w:name="_Toc1228549697"/>
      <w:bookmarkStart w:id="618" w:name="_Toc274284938"/>
      <w:bookmarkStart w:id="619" w:name="_Toc1213203103"/>
      <w:bookmarkStart w:id="620" w:name="_Toc1083461867"/>
      <w:bookmarkStart w:id="621" w:name="_Toc392691788"/>
      <w:bookmarkStart w:id="622" w:name="_Toc88137867"/>
      <w:bookmarkStart w:id="623" w:name="_Toc1912479472"/>
      <w:bookmarkStart w:id="624" w:name="_Toc734319174"/>
      <w:bookmarkStart w:id="625" w:name="_Toc990395761"/>
      <w:bookmarkStart w:id="626" w:name="_Toc1455840"/>
      <w:bookmarkStart w:id="627" w:name="_Toc3512801"/>
      <w:bookmarkStart w:id="628" w:name="_Toc1660789803"/>
      <w:bookmarkStart w:id="629" w:name="_Toc517934444"/>
      <w:bookmarkStart w:id="630" w:name="_Toc1241770074"/>
      <w:bookmarkStart w:id="631" w:name="_Toc1575994735"/>
      <w:bookmarkStart w:id="632" w:name="_Toc92214998"/>
      <w:bookmarkStart w:id="633" w:name="_Toc1369203331"/>
      <w:bookmarkStart w:id="634" w:name="_Toc711733630"/>
      <w:bookmarkStart w:id="635" w:name="_Toc1937464470"/>
      <w:bookmarkStart w:id="636" w:name="_Toc239862890"/>
      <w:r w:rsidRPr="0041421A">
        <w:rPr>
          <w:rFonts w:eastAsia="Georgia"/>
          <w:b/>
          <w:bCs/>
          <w:color w:val="1F3A5F"/>
        </w:rPr>
        <w:t xml:space="preserve">3.2 </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rPr>
          <w:rFonts w:eastAsia="Georgia"/>
          <w:b/>
          <w:bCs/>
          <w:color w:val="1F3A5F"/>
        </w:rPr>
        <w:t>How DERs and VPPs can address Virginia’s evolving energy needs</w:t>
      </w:r>
      <w:bookmarkEnd w:id="636"/>
      <w:r>
        <w:rPr>
          <w:rFonts w:eastAsia="Georgia"/>
          <w:b/>
          <w:bCs/>
          <w:color w:val="1F3A5F"/>
        </w:rPr>
        <w:t xml:space="preserve"> </w:t>
      </w:r>
    </w:p>
    <w:p w14:paraId="780DA559" w14:textId="58532151" w:rsidR="00B12827" w:rsidRDefault="00B12827" w:rsidP="00B12827">
      <w:pPr>
        <w:spacing w:after="200"/>
      </w:pPr>
      <w:r>
        <w:t xml:space="preserve">DERs and VPPs can help meet </w:t>
      </w:r>
      <w:r w:rsidR="001A2522">
        <w:t xml:space="preserve">Virginia’s </w:t>
      </w:r>
      <w:r>
        <w:t xml:space="preserve">evolving near-term and long-term energy needs by cost-effectively meeting electricity demand growth, </w:t>
      </w:r>
      <w:r w:rsidR="007455B6">
        <w:t>improving energy affordability</w:t>
      </w:r>
      <w:r>
        <w:t xml:space="preserve">, and advancing the Commonwealth’s clean energy </w:t>
      </w:r>
      <w:r w:rsidR="001A2522">
        <w:t>objectives, while empowering customers to participate in and benefit from this growth</w:t>
      </w:r>
      <w:r>
        <w:t>.</w:t>
      </w:r>
    </w:p>
    <w:p w14:paraId="3E8D2DC2" w14:textId="037FB02B" w:rsidR="00B12827" w:rsidRPr="00CA5126" w:rsidRDefault="00B12827" w:rsidP="00B12827">
      <w:pPr>
        <w:spacing w:after="240"/>
      </w:pPr>
      <w:r w:rsidRPr="00CA5126">
        <w:rPr>
          <w:b/>
          <w:bCs/>
        </w:rPr>
        <w:t xml:space="preserve">Meeting Virginia's growing demand: </w:t>
      </w:r>
      <w:r>
        <w:t>The Commonwealth’s</w:t>
      </w:r>
      <w:r w:rsidRPr="00CA5126">
        <w:t xml:space="preserve"> electricity demand is </w:t>
      </w:r>
      <w:r>
        <w:t>growing</w:t>
      </w:r>
      <w:r w:rsidRPr="00CA5126">
        <w:t xml:space="preserve"> </w:t>
      </w:r>
      <w:r>
        <w:t>rapidly</w:t>
      </w:r>
      <w:r w:rsidRPr="00CA5126">
        <w:t xml:space="preserve">, </w:t>
      </w:r>
      <w:r>
        <w:t>m</w:t>
      </w:r>
      <w:r w:rsidRPr="00CA5126">
        <w:t xml:space="preserve">eeting growth of this magnitude solely through new central-station generation </w:t>
      </w:r>
      <w:r>
        <w:t>as well as</w:t>
      </w:r>
      <w:r w:rsidRPr="00CA5126">
        <w:t xml:space="preserve"> new transmission and distribution infrastructure </w:t>
      </w:r>
      <w:r>
        <w:t>would</w:t>
      </w:r>
      <w:r w:rsidRPr="00CA5126">
        <w:t xml:space="preserve"> </w:t>
      </w:r>
      <w:r>
        <w:t>require significant time, with the average time to complete new transmission projects in the U.S. currently around 10 years;</w:t>
      </w:r>
      <w:r>
        <w:rPr>
          <w:rStyle w:val="FootnoteReference"/>
        </w:rPr>
        <w:footnoteReference w:id="23"/>
      </w:r>
      <w:r>
        <w:t xml:space="preserve"> national modeling from the Brattle Group finds that load interconnection timelines can fall from five-to-ten years under status-quo grid operation to one-to-five years when distributed energy resources and related technologies are used to increase system utilization.</w:t>
      </w:r>
      <w:r>
        <w:rPr>
          <w:rStyle w:val="FootnoteReference"/>
        </w:rPr>
        <w:footnoteReference w:id="24"/>
      </w:r>
      <w:r w:rsidRPr="00CA5126">
        <w:t xml:space="preserve"> </w:t>
      </w:r>
      <w:r>
        <w:t>Directing</w:t>
      </w:r>
      <w:r w:rsidRPr="00CA5126">
        <w:t xml:space="preserve"> investments in </w:t>
      </w:r>
      <w:r>
        <w:t>DERs</w:t>
      </w:r>
      <w:r w:rsidRPr="00CA5126">
        <w:t xml:space="preserve"> </w:t>
      </w:r>
      <w:r>
        <w:t>from</w:t>
      </w:r>
      <w:r w:rsidR="001038FC">
        <w:t xml:space="preserve"> solely</w:t>
      </w:r>
      <w:r w:rsidRPr="00CA5126">
        <w:t xml:space="preserve"> </w:t>
      </w:r>
      <w:r>
        <w:t>standalone</w:t>
      </w:r>
      <w:r w:rsidRPr="00CA5126">
        <w:t xml:space="preserve"> resources </w:t>
      </w:r>
      <w:r>
        <w:t>with hyper-localized benefits (e.g., standalone rooftop solar)</w:t>
      </w:r>
      <w:r w:rsidRPr="00CA5126">
        <w:t xml:space="preserve"> </w:t>
      </w:r>
      <w:r>
        <w:t>to</w:t>
      </w:r>
      <w:r w:rsidRPr="00CA5126">
        <w:t xml:space="preserve"> dispatchable, aggregated Virtual Power Plants (VPPs) </w:t>
      </w:r>
      <w:r>
        <w:t xml:space="preserve">that are capable of providing services grid-wide </w:t>
      </w:r>
      <w:r w:rsidRPr="00CA5126">
        <w:t xml:space="preserve">can </w:t>
      </w:r>
      <w:r>
        <w:t>serve to deploy resources on comparatively shortened timelines to meet anticipated annual load growth</w:t>
      </w:r>
      <w:r w:rsidRPr="00CA5126">
        <w:t>.</w:t>
      </w:r>
    </w:p>
    <w:p w14:paraId="49215101" w14:textId="1CCEF4D9" w:rsidR="00B12827" w:rsidRPr="00CA5126" w:rsidRDefault="00B12827" w:rsidP="00B12827">
      <w:pPr>
        <w:spacing w:after="200"/>
      </w:pPr>
      <w:r>
        <w:rPr>
          <w:b/>
          <w:bCs/>
        </w:rPr>
        <w:t>Supporting</w:t>
      </w:r>
      <w:r w:rsidRPr="00CA5126">
        <w:rPr>
          <w:b/>
          <w:bCs/>
        </w:rPr>
        <w:t xml:space="preserve"> affordability: </w:t>
      </w:r>
      <w:r w:rsidRPr="00CA5126">
        <w:t>A framework that pays DERs for grid services allows Virginia to make fuller use of the grid infrastructure that already exists, deferring or avoiding costlier investments in new substations and new transmission and distribution lines</w:t>
      </w:r>
      <w:r>
        <w:t>, as described in Section 3.1</w:t>
      </w:r>
      <w:r w:rsidRPr="00CA5126">
        <w:t xml:space="preserve">. </w:t>
      </w:r>
      <w:r>
        <w:t>Electricity bills in the Commonwealth have increased by an average of 46% since 2021, driven by rate increases across generation, transmission, and distribution;</w:t>
      </w:r>
      <w:r>
        <w:rPr>
          <w:rStyle w:val="FootnoteReference"/>
        </w:rPr>
        <w:footnoteReference w:id="25"/>
      </w:r>
      <w:r>
        <w:t xml:space="preserve"> DERs interconnected to existing infrastructure and aggregated as VPPs – particularly those located within congested parts of the grid – can help to mitigate these rising costs faced by ratepayers statewide.</w:t>
      </w:r>
      <w:r w:rsidRPr="00CA5126" w:rsidDel="003D4D29">
        <w:t xml:space="preserve"> </w:t>
      </w:r>
      <w:r w:rsidRPr="00CA5126">
        <w:t xml:space="preserve"> </w:t>
      </w:r>
    </w:p>
    <w:p w14:paraId="54E5415C" w14:textId="07FAB67E" w:rsidR="00D52C06" w:rsidRPr="00CA5126" w:rsidRDefault="00D52C06" w:rsidP="003A2DDB">
      <w:pPr>
        <w:pStyle w:val="Caption"/>
        <w:keepNext/>
        <w:spacing w:before="120" w:after="120"/>
        <w:jc w:val="center"/>
      </w:pPr>
      <w:r w:rsidRPr="00960C0B">
        <w:rPr>
          <w:b/>
          <w:i w:val="0"/>
          <w:noProof/>
        </w:rPr>
        <mc:AlternateContent>
          <mc:Choice Requires="wps">
            <w:drawing>
              <wp:anchor distT="0" distB="0" distL="114300" distR="114300" simplePos="0" relativeHeight="251658240" behindDoc="1" locked="0" layoutInCell="1" allowOverlap="1" wp14:anchorId="50784D6A" wp14:editId="79AD7D4E">
                <wp:simplePos x="0" y="0"/>
                <wp:positionH relativeFrom="column">
                  <wp:posOffset>49237</wp:posOffset>
                </wp:positionH>
                <wp:positionV relativeFrom="paragraph">
                  <wp:posOffset>298841</wp:posOffset>
                </wp:positionV>
                <wp:extent cx="5887720" cy="1404620"/>
                <wp:effectExtent l="0" t="0" r="17780" b="22860"/>
                <wp:wrapTight wrapText="bothSides">
                  <wp:wrapPolygon edited="0">
                    <wp:start x="0" y="0"/>
                    <wp:lineTo x="0" y="21646"/>
                    <wp:lineTo x="21595" y="21646"/>
                    <wp:lineTo x="21595" y="0"/>
                    <wp:lineTo x="0" y="0"/>
                  </wp:wrapPolygon>
                </wp:wrapTight>
                <wp:docPr id="761058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7720" cy="1404620"/>
                        </a:xfrm>
                        <a:prstGeom prst="rect">
                          <a:avLst/>
                        </a:prstGeom>
                        <a:solidFill>
                          <a:schemeClr val="bg1">
                            <a:lumMod val="85000"/>
                          </a:schemeClr>
                        </a:solidFill>
                        <a:ln w="9525">
                          <a:solidFill>
                            <a:srgbClr val="000000"/>
                          </a:solidFill>
                          <a:miter lim="800000"/>
                          <a:headEnd/>
                          <a:tailEnd/>
                        </a:ln>
                      </wps:spPr>
                      <wps:txbx>
                        <w:txbxContent>
                          <w:p w14:paraId="09810517" w14:textId="138DCD4F" w:rsidR="004B527B" w:rsidRDefault="00B12827">
                            <w:pPr>
                              <w:rPr>
                                <w:sz w:val="20"/>
                                <w:szCs w:val="20"/>
                              </w:rPr>
                            </w:pPr>
                            <w:r w:rsidRPr="00713D23">
                              <w:rPr>
                                <w:b/>
                                <w:sz w:val="20"/>
                                <w:szCs w:val="20"/>
                              </w:rPr>
                              <w:t xml:space="preserve">National Grid </w:t>
                            </w:r>
                            <w:r>
                              <w:rPr>
                                <w:b/>
                                <w:sz w:val="20"/>
                                <w:szCs w:val="20"/>
                              </w:rPr>
                              <w:t xml:space="preserve">(New York, Massachusetts): </w:t>
                            </w:r>
                            <w:r w:rsidRPr="0097599E">
                              <w:rPr>
                                <w:sz w:val="20"/>
                                <w:szCs w:val="20"/>
                              </w:rPr>
                              <w:t xml:space="preserve"> </w:t>
                            </w:r>
                            <w:r>
                              <w:rPr>
                                <w:sz w:val="20"/>
                                <w:szCs w:val="20"/>
                              </w:rPr>
                              <w:t xml:space="preserve">National Grid </w:t>
                            </w:r>
                            <w:r w:rsidRPr="0097599E">
                              <w:rPr>
                                <w:sz w:val="20"/>
                                <w:szCs w:val="20"/>
                              </w:rPr>
                              <w:t xml:space="preserve">developed and launched </w:t>
                            </w:r>
                            <w:r w:rsidR="000315C2">
                              <w:rPr>
                                <w:sz w:val="20"/>
                                <w:szCs w:val="20"/>
                              </w:rPr>
                              <w:t xml:space="preserve"> the</w:t>
                            </w:r>
                            <w:r w:rsidRPr="0097599E">
                              <w:rPr>
                                <w:sz w:val="20"/>
                                <w:szCs w:val="20"/>
                              </w:rPr>
                              <w:t xml:space="preserve">ConnectedSolutions "bring-your-own-device" VPP in less than </w:t>
                            </w:r>
                            <w:r w:rsidRPr="00CA2E1B">
                              <w:rPr>
                                <w:sz w:val="20"/>
                                <w:szCs w:val="20"/>
                              </w:rPr>
                              <w:t>four months</w:t>
                            </w:r>
                            <w:r>
                              <w:rPr>
                                <w:sz w:val="20"/>
                                <w:szCs w:val="20"/>
                              </w:rPr>
                              <w:t xml:space="preserve">, bringing up to 250 MW of </w:t>
                            </w:r>
                            <w:r w:rsidRPr="00CA2E1B">
                              <w:rPr>
                                <w:sz w:val="20"/>
                                <w:szCs w:val="20"/>
                              </w:rPr>
                              <w:t>low-cost, low-emissions peaking capacity in Massachusetts and New York</w:t>
                            </w:r>
                            <w:r>
                              <w:rPr>
                                <w:sz w:val="20"/>
                                <w:szCs w:val="20"/>
                              </w:rPr>
                              <w:t xml:space="preserve"> </w:t>
                            </w:r>
                            <w:r w:rsidR="00E60248">
                              <w:rPr>
                                <w:sz w:val="20"/>
                                <w:szCs w:val="20"/>
                              </w:rPr>
                              <w:t xml:space="preserve">with an upfront investment of </w:t>
                            </w:r>
                            <w:r>
                              <w:rPr>
                                <w:sz w:val="20"/>
                                <w:szCs w:val="20"/>
                              </w:rPr>
                              <w:t>$500,000</w:t>
                            </w:r>
                            <w:r w:rsidR="00E60248">
                              <w:rPr>
                                <w:sz w:val="20"/>
                                <w:szCs w:val="20"/>
                              </w:rPr>
                              <w:t xml:space="preserve"> to stand up the VPP</w:t>
                            </w:r>
                            <w:r w:rsidRPr="00CA2E1B">
                              <w:rPr>
                                <w:sz w:val="20"/>
                                <w:szCs w:val="20"/>
                              </w:rPr>
                              <w:t>. In this configuration, National Grid contracts with EnergyHub, a</w:t>
                            </w:r>
                            <w:r>
                              <w:rPr>
                                <w:sz w:val="20"/>
                                <w:szCs w:val="20"/>
                              </w:rPr>
                              <w:t xml:space="preserve"> </w:t>
                            </w:r>
                            <w:r w:rsidRPr="00CA2E1B">
                              <w:rPr>
                                <w:sz w:val="20"/>
                                <w:szCs w:val="20"/>
                              </w:rPr>
                              <w:t>vendor that integrates</w:t>
                            </w:r>
                            <w:r w:rsidRPr="0097599E">
                              <w:rPr>
                                <w:sz w:val="20"/>
                                <w:szCs w:val="20"/>
                              </w:rPr>
                              <w:t xml:space="preserve"> multiple DER software systems into one platform, with the heterogeneous aggregation controlled as one cohesive, utility-scale resource. National Grid sends notices to EnergyHub in advance of peak hours to dispatch demand reductions from the customer-owned DER aggregation that EnergyHub manages on </w:t>
                            </w:r>
                            <w:r>
                              <w:rPr>
                                <w:sz w:val="20"/>
                                <w:szCs w:val="20"/>
                              </w:rPr>
                              <w:t>the utility’s</w:t>
                            </w:r>
                            <w:r w:rsidRPr="0097599E">
                              <w:rPr>
                                <w:sz w:val="20"/>
                                <w:szCs w:val="20"/>
                              </w:rPr>
                              <w:t xml:space="preserve"> behalf. </w:t>
                            </w:r>
                            <w:r>
                              <w:rPr>
                                <w:sz w:val="20"/>
                                <w:szCs w:val="20"/>
                              </w:rPr>
                              <w:t>This example demonstrates how VPP aggregation can be low cost and require</w:t>
                            </w:r>
                            <w:r w:rsidRPr="0097599E">
                              <w:rPr>
                                <w:sz w:val="20"/>
                                <w:szCs w:val="20"/>
                              </w:rPr>
                              <w:t xml:space="preserve"> </w:t>
                            </w:r>
                            <w:r>
                              <w:rPr>
                                <w:sz w:val="20"/>
                                <w:szCs w:val="20"/>
                              </w:rPr>
                              <w:t>minor changes</w:t>
                            </w:r>
                            <w:r w:rsidRPr="0097599E">
                              <w:rPr>
                                <w:sz w:val="20"/>
                                <w:szCs w:val="20"/>
                              </w:rPr>
                              <w:t xml:space="preserve"> to internal organizational operations to implement</w:t>
                            </w:r>
                            <w:r>
                              <w:rPr>
                                <w:sz w:val="20"/>
                                <w:szCs w:val="20"/>
                              </w:rPr>
                              <w:t>; s</w:t>
                            </w:r>
                            <w:r w:rsidRPr="0097599E">
                              <w:rPr>
                                <w:sz w:val="20"/>
                                <w:szCs w:val="20"/>
                              </w:rPr>
                              <w:t>ystem integration is low, with a</w:t>
                            </w:r>
                            <w:r>
                              <w:rPr>
                                <w:sz w:val="20"/>
                                <w:szCs w:val="20"/>
                              </w:rPr>
                              <w:t xml:space="preserve"> National Grid </w:t>
                            </w:r>
                            <w:r w:rsidRPr="0097599E">
                              <w:rPr>
                                <w:sz w:val="20"/>
                                <w:szCs w:val="20"/>
                              </w:rPr>
                              <w:t>employee logging into EnergyHub's online portal to send instructions and collect dat</w:t>
                            </w:r>
                            <w:r>
                              <w:rPr>
                                <w:sz w:val="20"/>
                                <w:szCs w:val="20"/>
                              </w:rPr>
                              <w:t>a.</w:t>
                            </w:r>
                            <w:r w:rsidR="00125476">
                              <w:rPr>
                                <w:sz w:val="20"/>
                                <w:szCs w:val="20"/>
                              </w:rPr>
                              <w:t xml:space="preserve"> </w:t>
                            </w:r>
                          </w:p>
                          <w:p w14:paraId="67F39541" w14:textId="77777777" w:rsidR="004B527B" w:rsidRDefault="004B527B">
                            <w:pPr>
                              <w:rPr>
                                <w:sz w:val="20"/>
                                <w:szCs w:val="20"/>
                              </w:rPr>
                            </w:pPr>
                          </w:p>
                          <w:p w14:paraId="68A510A9" w14:textId="15FDC248" w:rsidR="00601C5E" w:rsidRPr="0039397E" w:rsidRDefault="00C9221F">
                            <w:pPr>
                              <w:rPr>
                                <w:sz w:val="20"/>
                                <w:szCs w:val="20"/>
                              </w:rPr>
                            </w:pPr>
                            <w:r>
                              <w:rPr>
                                <w:sz w:val="20"/>
                                <w:szCs w:val="20"/>
                              </w:rPr>
                              <w:t>Massachusett</w:t>
                            </w:r>
                            <w:r w:rsidR="008738AF">
                              <w:rPr>
                                <w:sz w:val="20"/>
                                <w:szCs w:val="20"/>
                              </w:rPr>
                              <w:t>s</w:t>
                            </w:r>
                            <w:r w:rsidR="00B20D84">
                              <w:rPr>
                                <w:sz w:val="20"/>
                                <w:szCs w:val="20"/>
                              </w:rPr>
                              <w:t>’</w:t>
                            </w:r>
                            <w:r w:rsidR="008738AF">
                              <w:rPr>
                                <w:sz w:val="20"/>
                                <w:szCs w:val="20"/>
                              </w:rPr>
                              <w:t xml:space="preserve"> participation in the</w:t>
                            </w:r>
                            <w:r w:rsidR="00EB4D14">
                              <w:rPr>
                                <w:sz w:val="20"/>
                                <w:szCs w:val="20"/>
                              </w:rPr>
                              <w:t xml:space="preserve"> </w:t>
                            </w:r>
                            <w:r w:rsidR="00EB4D14" w:rsidRPr="00846B6E">
                              <w:rPr>
                                <w:sz w:val="20"/>
                                <w:szCs w:val="20"/>
                              </w:rPr>
                              <w:t>ConnectedSolutions program</w:t>
                            </w:r>
                            <w:r w:rsidR="00EB4D14">
                              <w:rPr>
                                <w:sz w:val="20"/>
                                <w:szCs w:val="20"/>
                              </w:rPr>
                              <w:t xml:space="preserve"> </w:t>
                            </w:r>
                            <w:r w:rsidR="00AB2BC4">
                              <w:rPr>
                                <w:sz w:val="20"/>
                                <w:szCs w:val="20"/>
                              </w:rPr>
                              <w:t xml:space="preserve">(of which National Grid is one of several implementing utilities) </w:t>
                            </w:r>
                            <w:r w:rsidR="00EB4D14" w:rsidRPr="00846B6E">
                              <w:rPr>
                                <w:sz w:val="20"/>
                                <w:szCs w:val="20"/>
                              </w:rPr>
                              <w:t>reached about 34,000 participants and 310 MW of enrolled capacity by year-end 2020, more than triple the state's 2020 Clean Peak Energy Standard goal of 100 MW.</w:t>
                            </w:r>
                            <w:r w:rsidR="002A3FE1">
                              <w:rPr>
                                <w:sz w:val="20"/>
                                <w:szCs w:val="20"/>
                              </w:rPr>
                              <w:t xml:space="preserve"> </w:t>
                            </w:r>
                            <w:r w:rsidR="002A3FE1" w:rsidRPr="002A3FE1">
                              <w:rPr>
                                <w:sz w:val="20"/>
                                <w:szCs w:val="20"/>
                              </w:rPr>
                              <w:t xml:space="preserve">National Grid specifically enrolled 14,975 participants that year, spent $1,925,661 in planned program costs, generated $3,978,280 in planned benefits </w:t>
                            </w:r>
                            <w:r w:rsidR="0058157D">
                              <w:rPr>
                                <w:sz w:val="20"/>
                                <w:szCs w:val="20"/>
                              </w:rPr>
                              <w:t>(</w:t>
                            </w:r>
                            <w:r w:rsidR="002A3FE1" w:rsidRPr="002A3FE1">
                              <w:rPr>
                                <w:sz w:val="20"/>
                                <w:szCs w:val="20"/>
                              </w:rPr>
                              <w:t>a benefit-to-cost ratio of roughly 2.1-to-1 for National Grid's program alone</w:t>
                            </w:r>
                            <w:r w:rsidR="0058157D">
                              <w:rPr>
                                <w:sz w:val="20"/>
                                <w:szCs w:val="20"/>
                              </w:rPr>
                              <w:t xml:space="preserve">), and </w:t>
                            </w:r>
                            <w:r w:rsidR="00630316" w:rsidRPr="00630316">
                              <w:rPr>
                                <w:sz w:val="20"/>
                                <w:szCs w:val="20"/>
                              </w:rPr>
                              <w:t xml:space="preserve">paid out $6,271,500 in total </w:t>
                            </w:r>
                            <w:r w:rsidR="001061A4">
                              <w:rPr>
                                <w:sz w:val="20"/>
                                <w:szCs w:val="20"/>
                              </w:rPr>
                              <w:t xml:space="preserve">grid services compensation </w:t>
                            </w:r>
                            <w:r w:rsidR="00630316" w:rsidRPr="00630316">
                              <w:rPr>
                                <w:sz w:val="20"/>
                                <w:szCs w:val="20"/>
                              </w:rPr>
                              <w:t>across its Massachusetts battery programs in 2020</w:t>
                            </w:r>
                            <w:r w:rsidR="002A3FE1">
                              <w:rPr>
                                <w:sz w:val="20"/>
                                <w:szCs w:val="20"/>
                              </w:rPr>
                              <w:t>.</w:t>
                            </w:r>
                          </w:p>
                        </w:txbxContent>
                      </wps:txbx>
                      <wps:bodyPr rot="0" vert="horz" wrap="square" lIns="91440" tIns="45720" rIns="91440" bIns="45720" anchor="t" anchorCtr="0">
                        <a:spAutoFit/>
                      </wps:bodyPr>
                    </wps:wsp>
                  </a:graphicData>
                </a:graphic>
              </wp:anchor>
            </w:drawing>
          </mc:Choice>
          <mc:Fallback>
            <w:pict>
              <v:shape w14:anchorId="50784D6A" id="_x0000_s1027" type="#_x0000_t202" style="position:absolute;left:0;text-align:left;margin-left:3.9pt;margin-top:23.55pt;width:463.6pt;height:110.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" fillcolor="#d8d8d8 [2732]">
                <v:textbox style="mso-fit-shape-to-text:t">
                  <w:txbxContent>
                    <w:p w14:paraId="09810517" w14:textId="138DCD4F" w:rsidR="004B527B" w:rsidRDefault="00B12827">
                      <w:pPr>
                        <w:rPr>
                          <w:sz w:val="20"/>
                          <w:szCs w:val="20"/>
                        </w:rPr>
                      </w:pPr>
                      <w:r w:rsidRPr="00713D23">
                        <w:rPr>
                          <w:b/>
                          <w:sz w:val="20"/>
                          <w:szCs w:val="20"/>
                        </w:rPr>
                        <w:t xml:space="preserve">National Grid </w:t>
                      </w:r>
                      <w:r>
                        <w:rPr>
                          <w:b/>
                          <w:sz w:val="20"/>
                          <w:szCs w:val="20"/>
                        </w:rPr>
                        <w:t xml:space="preserve">(New York, Massachusetts): </w:t>
                      </w:r>
                      <w:r w:rsidRPr="0097599E">
                        <w:rPr>
                          <w:sz w:val="20"/>
                          <w:szCs w:val="20"/>
                        </w:rPr>
                        <w:t xml:space="preserve"> </w:t>
                      </w:r>
                      <w:r>
                        <w:rPr>
                          <w:sz w:val="20"/>
                          <w:szCs w:val="20"/>
                        </w:rPr>
                        <w:t xml:space="preserve">National Grid </w:t>
                      </w:r>
                      <w:r w:rsidRPr="0097599E">
                        <w:rPr>
                          <w:sz w:val="20"/>
                          <w:szCs w:val="20"/>
                        </w:rPr>
                        <w:t xml:space="preserve">developed and launched </w:t>
                      </w:r>
                      <w:r w:rsidR="000315C2">
                        <w:rPr>
                          <w:sz w:val="20"/>
                          <w:szCs w:val="20"/>
                        </w:rPr>
                        <w:t xml:space="preserve"> the</w:t>
                      </w:r>
                      <w:r w:rsidRPr="0097599E">
                        <w:rPr>
                          <w:sz w:val="20"/>
                          <w:szCs w:val="20"/>
                        </w:rPr>
                        <w:t xml:space="preserve">ConnectedSolutions "bring-your-own-device" VPP in less than </w:t>
                      </w:r>
                      <w:r w:rsidRPr="00CA2E1B">
                        <w:rPr>
                          <w:sz w:val="20"/>
                          <w:szCs w:val="20"/>
                        </w:rPr>
                        <w:t>four months</w:t>
                      </w:r>
                      <w:r>
                        <w:rPr>
                          <w:sz w:val="20"/>
                          <w:szCs w:val="20"/>
                        </w:rPr>
                        <w:t xml:space="preserve">, bringing up to 250 MW of </w:t>
                      </w:r>
                      <w:r w:rsidRPr="00CA2E1B">
                        <w:rPr>
                          <w:sz w:val="20"/>
                          <w:szCs w:val="20"/>
                        </w:rPr>
                        <w:t>low-cost, low-emissions peaking capacity in Massachusetts and New York</w:t>
                      </w:r>
                      <w:r>
                        <w:rPr>
                          <w:sz w:val="20"/>
                          <w:szCs w:val="20"/>
                        </w:rPr>
                        <w:t xml:space="preserve"> </w:t>
                      </w:r>
                      <w:r w:rsidR="00E60248">
                        <w:rPr>
                          <w:sz w:val="20"/>
                          <w:szCs w:val="20"/>
                        </w:rPr>
                        <w:t xml:space="preserve">with an upfront investment of </w:t>
                      </w:r>
                      <w:r>
                        <w:rPr>
                          <w:sz w:val="20"/>
                          <w:szCs w:val="20"/>
                        </w:rPr>
                        <w:t>$500,000</w:t>
                      </w:r>
                      <w:r w:rsidR="00E60248">
                        <w:rPr>
                          <w:sz w:val="20"/>
                          <w:szCs w:val="20"/>
                        </w:rPr>
                        <w:t xml:space="preserve"> to stand up the VPP</w:t>
                      </w:r>
                      <w:r w:rsidRPr="00CA2E1B">
                        <w:rPr>
                          <w:sz w:val="20"/>
                          <w:szCs w:val="20"/>
                        </w:rPr>
                        <w:t>. In this configuration, National Grid contracts with EnergyHub, a</w:t>
                      </w:r>
                      <w:r>
                        <w:rPr>
                          <w:sz w:val="20"/>
                          <w:szCs w:val="20"/>
                        </w:rPr>
                        <w:t xml:space="preserve"> </w:t>
                      </w:r>
                      <w:r w:rsidRPr="00CA2E1B">
                        <w:rPr>
                          <w:sz w:val="20"/>
                          <w:szCs w:val="20"/>
                        </w:rPr>
                        <w:t>vendor that integrates</w:t>
                      </w:r>
                      <w:r w:rsidRPr="0097599E">
                        <w:rPr>
                          <w:sz w:val="20"/>
                          <w:szCs w:val="20"/>
                        </w:rPr>
                        <w:t xml:space="preserve"> multiple DER software systems into one platform, with the heterogeneous aggregation controlled as one cohesive, utility-scale resource. National Grid sends notices to EnergyHub in advance of peak hours to dispatch demand reductions from the customer-owned DER aggregation that EnergyHub manages on </w:t>
                      </w:r>
                      <w:r>
                        <w:rPr>
                          <w:sz w:val="20"/>
                          <w:szCs w:val="20"/>
                        </w:rPr>
                        <w:t>the utility’s</w:t>
                      </w:r>
                      <w:r w:rsidRPr="0097599E">
                        <w:rPr>
                          <w:sz w:val="20"/>
                          <w:szCs w:val="20"/>
                        </w:rPr>
                        <w:t xml:space="preserve"> behalf. </w:t>
                      </w:r>
                      <w:r>
                        <w:rPr>
                          <w:sz w:val="20"/>
                          <w:szCs w:val="20"/>
                        </w:rPr>
                        <w:t>This example demonstrates how VPP aggregation can be low cost and require</w:t>
                      </w:r>
                      <w:r w:rsidRPr="0097599E">
                        <w:rPr>
                          <w:sz w:val="20"/>
                          <w:szCs w:val="20"/>
                        </w:rPr>
                        <w:t xml:space="preserve"> </w:t>
                      </w:r>
                      <w:r>
                        <w:rPr>
                          <w:sz w:val="20"/>
                          <w:szCs w:val="20"/>
                        </w:rPr>
                        <w:t>minor changes</w:t>
                      </w:r>
                      <w:r w:rsidRPr="0097599E">
                        <w:rPr>
                          <w:sz w:val="20"/>
                          <w:szCs w:val="20"/>
                        </w:rPr>
                        <w:t xml:space="preserve"> to internal organizational operations to implement</w:t>
                      </w:r>
                      <w:r>
                        <w:rPr>
                          <w:sz w:val="20"/>
                          <w:szCs w:val="20"/>
                        </w:rPr>
                        <w:t>; s</w:t>
                      </w:r>
                      <w:r w:rsidRPr="0097599E">
                        <w:rPr>
                          <w:sz w:val="20"/>
                          <w:szCs w:val="20"/>
                        </w:rPr>
                        <w:t>ystem integration is low, with a</w:t>
                      </w:r>
                      <w:r>
                        <w:rPr>
                          <w:sz w:val="20"/>
                          <w:szCs w:val="20"/>
                        </w:rPr>
                        <w:t xml:space="preserve"> National Grid </w:t>
                      </w:r>
                      <w:r w:rsidRPr="0097599E">
                        <w:rPr>
                          <w:sz w:val="20"/>
                          <w:szCs w:val="20"/>
                        </w:rPr>
                        <w:t>employee logging into EnergyHub's online portal to send instructions and collect dat</w:t>
                      </w:r>
                      <w:r>
                        <w:rPr>
                          <w:sz w:val="20"/>
                          <w:szCs w:val="20"/>
                        </w:rPr>
                        <w:t>a.</w:t>
                      </w:r>
                      <w:r w:rsidR="00125476">
                        <w:rPr>
                          <w:sz w:val="20"/>
                          <w:szCs w:val="20"/>
                        </w:rPr>
                        <w:t xml:space="preserve"> </w:t>
                      </w:r>
                    </w:p>
                    <w:p w14:paraId="67F39541" w14:textId="77777777" w:rsidR="004B527B" w:rsidRDefault="004B527B">
                      <w:pPr>
                        <w:rPr>
                          <w:sz w:val="20"/>
                          <w:szCs w:val="20"/>
                        </w:rPr>
                      </w:pPr>
                    </w:p>
                    <w:p w14:paraId="68A510A9" w14:textId="15FDC248" w:rsidR="00601C5E" w:rsidRPr="0039397E" w:rsidRDefault="00C9221F">
                      <w:pPr>
                        <w:rPr>
                          <w:sz w:val="20"/>
                          <w:szCs w:val="20"/>
                        </w:rPr>
                      </w:pPr>
                      <w:r>
                        <w:rPr>
                          <w:sz w:val="20"/>
                          <w:szCs w:val="20"/>
                        </w:rPr>
                        <w:t>Massachusett</w:t>
                      </w:r>
                      <w:r w:rsidR="008738AF">
                        <w:rPr>
                          <w:sz w:val="20"/>
                          <w:szCs w:val="20"/>
                        </w:rPr>
                        <w:t>s</w:t>
                      </w:r>
                      <w:r w:rsidR="00B20D84">
                        <w:rPr>
                          <w:sz w:val="20"/>
                          <w:szCs w:val="20"/>
                        </w:rPr>
                        <w:t>’</w:t>
                      </w:r>
                      <w:r w:rsidR="008738AF">
                        <w:rPr>
                          <w:sz w:val="20"/>
                          <w:szCs w:val="20"/>
                        </w:rPr>
                        <w:t xml:space="preserve"> participation in the</w:t>
                      </w:r>
                      <w:r w:rsidR="00EB4D14">
                        <w:rPr>
                          <w:sz w:val="20"/>
                          <w:szCs w:val="20"/>
                        </w:rPr>
                        <w:t xml:space="preserve"> </w:t>
                      </w:r>
                      <w:r w:rsidR="00EB4D14" w:rsidRPr="00846B6E">
                        <w:rPr>
                          <w:sz w:val="20"/>
                          <w:szCs w:val="20"/>
                        </w:rPr>
                        <w:t>ConnectedSolutions program</w:t>
                      </w:r>
                      <w:r w:rsidR="00EB4D14">
                        <w:rPr>
                          <w:sz w:val="20"/>
                          <w:szCs w:val="20"/>
                        </w:rPr>
                        <w:t xml:space="preserve"> </w:t>
                      </w:r>
                      <w:r w:rsidR="00AB2BC4">
                        <w:rPr>
                          <w:sz w:val="20"/>
                          <w:szCs w:val="20"/>
                        </w:rPr>
                        <w:t xml:space="preserve">(of which National Grid is one of several implementing utilities) </w:t>
                      </w:r>
                      <w:r w:rsidR="00EB4D14" w:rsidRPr="00846B6E">
                        <w:rPr>
                          <w:sz w:val="20"/>
                          <w:szCs w:val="20"/>
                        </w:rPr>
                        <w:t>reached about 34,000 participants and 310 MW of enrolled capacity by year-end 2020, more than triple the state's 2020 Clean Peak Energy Standard goal of 100 MW.</w:t>
                      </w:r>
                      <w:r w:rsidR="002A3FE1">
                        <w:rPr>
                          <w:sz w:val="20"/>
                          <w:szCs w:val="20"/>
                        </w:rPr>
                        <w:t xml:space="preserve"> </w:t>
                      </w:r>
                      <w:r w:rsidR="002A3FE1" w:rsidRPr="002A3FE1">
                        <w:rPr>
                          <w:sz w:val="20"/>
                          <w:szCs w:val="20"/>
                        </w:rPr>
                        <w:t xml:space="preserve">National Grid specifically enrolled 14,975 participants that year, spent $1,925,661 in planned program costs, generated $3,978,280 in planned benefits </w:t>
                      </w:r>
                      <w:r w:rsidR="0058157D">
                        <w:rPr>
                          <w:sz w:val="20"/>
                          <w:szCs w:val="20"/>
                        </w:rPr>
                        <w:t>(</w:t>
                      </w:r>
                      <w:r w:rsidR="002A3FE1" w:rsidRPr="002A3FE1">
                        <w:rPr>
                          <w:sz w:val="20"/>
                          <w:szCs w:val="20"/>
                        </w:rPr>
                        <w:t>a benefit-to-cost ratio of roughly 2.1-to-1 for National Grid's program alone</w:t>
                      </w:r>
                      <w:r w:rsidR="0058157D">
                        <w:rPr>
                          <w:sz w:val="20"/>
                          <w:szCs w:val="20"/>
                        </w:rPr>
                        <w:t xml:space="preserve">), and </w:t>
                      </w:r>
                      <w:r w:rsidR="00630316" w:rsidRPr="00630316">
                        <w:rPr>
                          <w:sz w:val="20"/>
                          <w:szCs w:val="20"/>
                        </w:rPr>
                        <w:t xml:space="preserve">paid out $6,271,500 in total </w:t>
                      </w:r>
                      <w:r w:rsidR="001061A4">
                        <w:rPr>
                          <w:sz w:val="20"/>
                          <w:szCs w:val="20"/>
                        </w:rPr>
                        <w:t xml:space="preserve">grid services compensation </w:t>
                      </w:r>
                      <w:r w:rsidR="00630316" w:rsidRPr="00630316">
                        <w:rPr>
                          <w:sz w:val="20"/>
                          <w:szCs w:val="20"/>
                        </w:rPr>
                        <w:t>across its Massachusetts battery programs in 2020</w:t>
                      </w:r>
                      <w:r w:rsidR="002A3FE1">
                        <w:rPr>
                          <w:sz w:val="20"/>
                          <w:szCs w:val="20"/>
                        </w:rPr>
                        <w:t>.</w:t>
                      </w:r>
                    </w:p>
                  </w:txbxContent>
                </v:textbox>
                <w10:wrap type="tight"/>
              </v:shape>
            </w:pict>
          </mc:Fallback>
        </mc:AlternateContent>
      </w:r>
      <w:r w:rsidRPr="00784C77">
        <w:rPr>
          <w:b/>
          <w:bCs/>
          <w:i w:val="0"/>
          <w:iCs w:val="0"/>
          <w:color w:val="000000" w:themeColor="text1"/>
          <w:sz w:val="20"/>
          <w:szCs w:val="20"/>
        </w:rPr>
        <w:t xml:space="preserve">Case Study </w:t>
      </w:r>
      <w:r>
        <w:rPr>
          <w:b/>
          <w:bCs/>
          <w:i w:val="0"/>
          <w:iCs w:val="0"/>
          <w:color w:val="000000" w:themeColor="text1"/>
          <w:sz w:val="20"/>
          <w:szCs w:val="20"/>
        </w:rPr>
        <w:t>2</w:t>
      </w:r>
      <w:r w:rsidRPr="00784C77">
        <w:rPr>
          <w:b/>
          <w:bCs/>
          <w:i w:val="0"/>
          <w:iCs w:val="0"/>
          <w:color w:val="000000" w:themeColor="text1"/>
          <w:sz w:val="20"/>
          <w:szCs w:val="20"/>
        </w:rPr>
        <w:t xml:space="preserve">: </w:t>
      </w:r>
      <w:r w:rsidR="0069022E" w:rsidRPr="0069022E">
        <w:rPr>
          <w:b/>
          <w:i w:val="0"/>
          <w:iCs w:val="0"/>
          <w:sz w:val="20"/>
          <w:szCs w:val="20"/>
        </w:rPr>
        <w:t>Efficient VPP program standup with limited investment</w:t>
      </w:r>
      <w:r>
        <w:rPr>
          <w:rStyle w:val="FootnoteReference"/>
          <w:b/>
          <w:bCs/>
          <w:i w:val="0"/>
          <w:iCs w:val="0"/>
          <w:color w:val="000000" w:themeColor="text1"/>
          <w:sz w:val="20"/>
          <w:szCs w:val="20"/>
        </w:rPr>
        <w:footnoteReference w:id="26"/>
      </w:r>
      <w:r w:rsidR="001B779D">
        <w:rPr>
          <w:rStyle w:val="FootnoteReference"/>
          <w:b/>
          <w:i w:val="0"/>
          <w:iCs w:val="0"/>
          <w:sz w:val="20"/>
          <w:szCs w:val="20"/>
        </w:rPr>
        <w:footnoteReference w:id="27"/>
      </w:r>
      <w:r w:rsidR="002A3FE1">
        <w:rPr>
          <w:rStyle w:val="FootnoteReference"/>
          <w:b/>
          <w:i w:val="0"/>
          <w:iCs w:val="0"/>
          <w:sz w:val="20"/>
          <w:szCs w:val="20"/>
        </w:rPr>
        <w:footnoteReference w:id="28"/>
      </w:r>
    </w:p>
    <w:p w14:paraId="1E2D71ED" w14:textId="5AF87D83" w:rsidR="00B12827" w:rsidRPr="00CA5126" w:rsidRDefault="00B12827" w:rsidP="00B12827">
      <w:pPr>
        <w:spacing w:after="200"/>
      </w:pPr>
      <w:r w:rsidRPr="00CA5126">
        <w:rPr>
          <w:b/>
          <w:bCs/>
        </w:rPr>
        <w:t xml:space="preserve">Accelerating clean energy goals: </w:t>
      </w:r>
      <w:r>
        <w:t>Rewarding the value of DERs with attractive economics will help to drive investments</w:t>
      </w:r>
      <w:r w:rsidRPr="00CA5126" w:rsidDel="00CD0722">
        <w:t xml:space="preserve"> </w:t>
      </w:r>
      <w:r w:rsidRPr="00CA5126">
        <w:t xml:space="preserve">in batteries, </w:t>
      </w:r>
      <w:r>
        <w:t>EVs</w:t>
      </w:r>
      <w:r w:rsidRPr="00CA5126">
        <w:t xml:space="preserve">, and solar </w:t>
      </w:r>
      <w:r>
        <w:t xml:space="preserve">PV generation as well as the aggregation of these resources, creating </w:t>
      </w:r>
      <w:r w:rsidRPr="00CA5126">
        <w:t>active</w:t>
      </w:r>
      <w:r>
        <w:t>, dispatchable, and decarbonized</w:t>
      </w:r>
      <w:r w:rsidRPr="00CA5126">
        <w:t xml:space="preserve"> grid </w:t>
      </w:r>
      <w:r>
        <w:t>assets</w:t>
      </w:r>
      <w:r w:rsidRPr="00CA5126">
        <w:t xml:space="preserve">. </w:t>
      </w:r>
      <w:r>
        <w:t xml:space="preserve">Improving DER adoption will support </w:t>
      </w:r>
      <w:r w:rsidRPr="00CA5126">
        <w:t>Virginia</w:t>
      </w:r>
      <w:r>
        <w:t xml:space="preserve">’s carbon free </w:t>
      </w:r>
      <w:r w:rsidR="00A93F8B">
        <w:t>electricity goals by 2045 and 2050</w:t>
      </w:r>
      <w:r w:rsidR="00B800D4">
        <w:t>.</w:t>
      </w:r>
      <w:r w:rsidR="009D05D6" w:rsidRPr="00CA5126">
        <w:t xml:space="preserve"> </w:t>
      </w:r>
    </w:p>
    <w:p w14:paraId="156A3763" w14:textId="75942F3F" w:rsidR="00940EE2" w:rsidRPr="00C92B88" w:rsidRDefault="00980F60" w:rsidP="00C92B88">
      <w:pPr>
        <w:pStyle w:val="Heading2"/>
        <w:spacing w:after="160"/>
        <w:rPr>
          <w:rFonts w:eastAsia="Georgia"/>
          <w:b/>
          <w:color w:val="1F3A5F"/>
          <w:sz w:val="23"/>
          <w:szCs w:val="23"/>
        </w:rPr>
      </w:pPr>
      <w:bookmarkStart w:id="637" w:name="_Toc239862891"/>
      <w:r w:rsidRPr="00C92B88">
        <w:rPr>
          <w:rFonts w:eastAsia="Georgia"/>
          <w:b/>
          <w:color w:val="1F3A5F"/>
          <w:sz w:val="23"/>
          <w:szCs w:val="23"/>
        </w:rPr>
        <w:t>3.</w:t>
      </w:r>
      <w:r w:rsidR="00B12827">
        <w:rPr>
          <w:rFonts w:eastAsia="Georgia"/>
          <w:b/>
          <w:color w:val="1F3A5F"/>
          <w:sz w:val="23"/>
          <w:szCs w:val="23"/>
        </w:rPr>
        <w:t>3</w:t>
      </w:r>
      <w:r w:rsidRPr="00C92B88">
        <w:rPr>
          <w:rFonts w:eastAsia="Georgia"/>
          <w:b/>
          <w:color w:val="1F3A5F"/>
          <w:sz w:val="23"/>
          <w:szCs w:val="23"/>
        </w:rPr>
        <w:t xml:space="preserve"> </w:t>
      </w:r>
      <w:r w:rsidR="00B12827">
        <w:rPr>
          <w:rFonts w:eastAsia="Georgia"/>
          <w:b/>
          <w:color w:val="1F3A5F"/>
          <w:sz w:val="23"/>
          <w:szCs w:val="23"/>
        </w:rPr>
        <w:t xml:space="preserve">The Task Force’s </w:t>
      </w:r>
      <w:r w:rsidRPr="00C92B88">
        <w:rPr>
          <w:rFonts w:eastAsia="Georgia"/>
          <w:b/>
          <w:color w:val="1F3A5F"/>
          <w:sz w:val="23"/>
          <w:szCs w:val="23"/>
        </w:rPr>
        <w:t>Vision for DERs in Virginia</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7"/>
      <w:r w:rsidRPr="00C92B88">
        <w:rPr>
          <w:rFonts w:eastAsia="Georgia"/>
          <w:b/>
          <w:color w:val="1F3A5F"/>
          <w:sz w:val="23"/>
          <w:szCs w:val="23"/>
        </w:rPr>
        <w:t xml:space="preserve"> </w:t>
      </w:r>
    </w:p>
    <w:p w14:paraId="064F1432" w14:textId="59B1EA38" w:rsidR="006617AB" w:rsidRPr="00A83026" w:rsidRDefault="00D7116C" w:rsidP="00A83026">
      <w:pPr>
        <w:spacing w:after="200"/>
        <w:jc w:val="both"/>
      </w:pPr>
      <w:r>
        <w:t xml:space="preserve">Recognizing that </w:t>
      </w:r>
      <w:r w:rsidRPr="0041421A">
        <w:t xml:space="preserve">DERs and VPPs </w:t>
      </w:r>
      <w:r w:rsidR="00754191">
        <w:t xml:space="preserve">can </w:t>
      </w:r>
      <w:r w:rsidR="00F66C18">
        <w:t>play a</w:t>
      </w:r>
      <w:r w:rsidR="001133D3">
        <w:t>n integral</w:t>
      </w:r>
      <w:r w:rsidR="00F66C18">
        <w:t xml:space="preserve"> role in meeting</w:t>
      </w:r>
      <w:r>
        <w:t xml:space="preserve"> Virginia’s </w:t>
      </w:r>
      <w:r w:rsidR="00ED57BC">
        <w:t xml:space="preserve">dynamic </w:t>
      </w:r>
      <w:r>
        <w:t xml:space="preserve">energy </w:t>
      </w:r>
      <w:r w:rsidR="00ED57BC">
        <w:t>challenge</w:t>
      </w:r>
      <w:r w:rsidR="000E1F9C">
        <w:t>s</w:t>
      </w:r>
      <w:r w:rsidR="00F66C18">
        <w:t xml:space="preserve">, </w:t>
      </w:r>
      <w:r>
        <w:t>the Task Force has focused</w:t>
      </w:r>
      <w:r w:rsidRPr="0041421A">
        <w:t xml:space="preserve"> on </w:t>
      </w:r>
      <w:r>
        <w:t>identifying regulatory, policy,</w:t>
      </w:r>
      <w:r w:rsidRPr="0041421A">
        <w:t xml:space="preserve"> and </w:t>
      </w:r>
      <w:r>
        <w:t>programmatic strategies</w:t>
      </w:r>
      <w:r w:rsidRPr="0041421A">
        <w:t xml:space="preserve"> </w:t>
      </w:r>
      <w:r>
        <w:t xml:space="preserve">that accelerate </w:t>
      </w:r>
      <w:r w:rsidR="00E314B5">
        <w:t xml:space="preserve">DER </w:t>
      </w:r>
      <w:r>
        <w:t xml:space="preserve">deployment </w:t>
      </w:r>
      <w:r w:rsidR="00E314B5">
        <w:t xml:space="preserve">and market participation. </w:t>
      </w:r>
      <w:r w:rsidR="00AE7DA0">
        <w:t xml:space="preserve">The Task Force defined a </w:t>
      </w:r>
      <w:r w:rsidR="00E9035D">
        <w:t xml:space="preserve">vision </w:t>
      </w:r>
      <w:r w:rsidR="00AE7DA0">
        <w:t xml:space="preserve">for DERs in the Commonwealth to inform deployment strategies and approaches: </w:t>
      </w:r>
    </w:p>
    <w:p w14:paraId="2E64E81D" w14:textId="50E89954" w:rsidR="006617AB" w:rsidRPr="00F766D9" w:rsidRDefault="006617AB" w:rsidP="00A83026">
      <w:pPr>
        <w:spacing w:after="240"/>
        <w:ind w:left="720"/>
        <w:rPr>
          <w:i/>
          <w:iCs/>
        </w:rPr>
      </w:pPr>
      <w:r w:rsidRPr="007F753A">
        <w:rPr>
          <w:i/>
          <w:iCs/>
        </w:rPr>
        <w:t xml:space="preserve">A Virginia energy system where </w:t>
      </w:r>
      <w:r w:rsidRPr="007F753A">
        <w:rPr>
          <w:b/>
          <w:bCs/>
          <w:i/>
          <w:iCs/>
        </w:rPr>
        <w:t xml:space="preserve">all types of dispatchable DERs are valued as integral, scalable grid resources—enabled to deliver and be fairly </w:t>
      </w:r>
      <w:r>
        <w:rPr>
          <w:b/>
          <w:bCs/>
          <w:i/>
          <w:iCs/>
        </w:rPr>
        <w:t xml:space="preserve">compensated </w:t>
      </w:r>
      <w:r w:rsidRPr="007F753A">
        <w:rPr>
          <w:b/>
          <w:bCs/>
          <w:i/>
          <w:iCs/>
        </w:rPr>
        <w:t xml:space="preserve">for providing cost-effective grid services to meet Virginia’s energy needs </w:t>
      </w:r>
      <w:r w:rsidRPr="007F753A">
        <w:rPr>
          <w:i/>
          <w:iCs/>
        </w:rPr>
        <w:t xml:space="preserve">(affordable, reliable, clean, safe, secure, and resilient power) through market and regulatory designs that build on the Commonwealth’s existing foundations </w:t>
      </w:r>
      <w:r>
        <w:rPr>
          <w:i/>
          <w:iCs/>
        </w:rPr>
        <w:t xml:space="preserve">for DER deployment </w:t>
      </w:r>
      <w:r w:rsidRPr="007F753A">
        <w:rPr>
          <w:i/>
          <w:iCs/>
        </w:rPr>
        <w:t>and evolve with technology, markets, and system innovations.</w:t>
      </w:r>
      <w:r>
        <w:rPr>
          <w:i/>
          <w:iCs/>
        </w:rPr>
        <w:t xml:space="preserve"> </w:t>
      </w:r>
    </w:p>
    <w:p w14:paraId="4EEC1DAE" w14:textId="09F3E0D6" w:rsidR="00226291" w:rsidRDefault="00183DEB" w:rsidP="001C26F0">
      <w:pPr>
        <w:spacing w:after="240"/>
      </w:pPr>
      <w:r w:rsidRPr="00183DEB">
        <w:t xml:space="preserve">Under this vision, homeowners, renters, businesses, local governments, institutions, and industrial customers have </w:t>
      </w:r>
      <w:r w:rsidR="00DC2590">
        <w:t>transparent</w:t>
      </w:r>
      <w:r w:rsidRPr="00183DEB">
        <w:t xml:space="preserve"> and accessible opportunities to invest in </w:t>
      </w:r>
      <w:r w:rsidR="00A174F5">
        <w:t xml:space="preserve">DERs and </w:t>
      </w:r>
      <w:r w:rsidRPr="00183DEB">
        <w:t xml:space="preserve">participate </w:t>
      </w:r>
      <w:r w:rsidR="00A174F5">
        <w:t xml:space="preserve">in </w:t>
      </w:r>
      <w:r w:rsidR="0065532E">
        <w:t xml:space="preserve">energy </w:t>
      </w:r>
      <w:r w:rsidR="00A174F5">
        <w:t>market</w:t>
      </w:r>
      <w:r w:rsidR="00A8677C">
        <w:t>s</w:t>
      </w:r>
      <w:r w:rsidR="00A174F5">
        <w:t xml:space="preserve">. </w:t>
      </w:r>
      <w:r w:rsidRPr="00183DEB">
        <w:t>Customers should be able to understand the benefits, responsibilities, and compensation associated with participation; retain appropriate choice and control over their equipment; and receive a fair return when their resources provide measurable value to the grid. Utilities, cooperatives, aggregators, and other market participants should likewise have clear rules and incentives to integrate DERs into planning and operations and to aggregate eligible resources into VPPs capable of providing energy, capacity, peak-demand reduction, and other grid services at meaningful scale.</w:t>
      </w:r>
      <w:r w:rsidR="001B0388">
        <w:br/>
      </w:r>
      <w:r w:rsidR="001B0388">
        <w:br/>
      </w:r>
      <w:r w:rsidR="001B0388" w:rsidRPr="001B0388">
        <w:t>This vision reflects broad and consistent support across Task Force members and Virginia stakeholders, including feedback gathered through public webinar</w:t>
      </w:r>
      <w:r w:rsidR="001B0388">
        <w:t>/</w:t>
      </w:r>
      <w:r w:rsidR="001B0388" w:rsidRPr="001B0388">
        <w:t>stakeholder convening</w:t>
      </w:r>
      <w:r w:rsidR="001B0388">
        <w:t>s</w:t>
      </w:r>
      <w:r w:rsidR="001B0388" w:rsidRPr="001B0388">
        <w:t xml:space="preserve"> and Task Force meetings, where industry, advocacy, and utility participants alike affirmed the need for accessible, transparent DER and VPP participation pathways. The Task Force also recognizes that the DER and VPP market is evolving rapidly, with new technologies, business models, and applications emerging on an ongoing basis. Accordingly, Virginia's policy and program design should be deliberately structured to enable and encourage continued innovation rather than locking in a static set of technologies or approaches</w:t>
      </w:r>
      <w:r w:rsidR="001B0388">
        <w:t>. This will enable</w:t>
      </w:r>
      <w:r w:rsidR="001B0388" w:rsidRPr="001B0388">
        <w:t xml:space="preserve"> the Commonwealth </w:t>
      </w:r>
      <w:r w:rsidR="001B0388">
        <w:t>to</w:t>
      </w:r>
      <w:r w:rsidR="001B0388" w:rsidRPr="001B0388">
        <w:t xml:space="preserve"> sustain its leadership position as the market matures.</w:t>
      </w:r>
    </w:p>
    <w:p w14:paraId="730855E7" w14:textId="77777777" w:rsidR="00AF0C6F" w:rsidRPr="00A83026" w:rsidRDefault="00AF0C6F" w:rsidP="00AF0C6F">
      <w:pPr>
        <w:pStyle w:val="Heading3"/>
        <w:spacing w:after="240"/>
        <w:rPr>
          <w:b/>
          <w:color w:val="auto"/>
          <w:sz w:val="22"/>
          <w:szCs w:val="22"/>
        </w:rPr>
      </w:pPr>
      <w:bookmarkStart w:id="638" w:name="_Toc239862892"/>
      <w:r w:rsidRPr="00E54790">
        <w:rPr>
          <w:b/>
          <w:bCs/>
          <w:color w:val="auto"/>
          <w:sz w:val="22"/>
          <w:szCs w:val="22"/>
        </w:rPr>
        <w:t>Near-Term and Long-Term Trajectory</w:t>
      </w:r>
      <w:bookmarkEnd w:id="638"/>
    </w:p>
    <w:p w14:paraId="21D47FB9" w14:textId="32CF3F3F" w:rsidR="00AF0C6F" w:rsidRDefault="00AF0C6F" w:rsidP="00AF0C6F">
      <w:pPr>
        <w:spacing w:after="240"/>
      </w:pPr>
      <w:r>
        <w:rPr>
          <w:b/>
          <w:bCs/>
        </w:rPr>
        <w:t xml:space="preserve">Near-term: </w:t>
      </w:r>
      <w:r w:rsidR="00351E3B" w:rsidRPr="00846B6E">
        <w:t>The Commonwealth has reached a legislative milestone by directing Dominion Energy to develop the state's VPP pilot of up to 450 MW of DERs (SB 1100),</w:t>
      </w:r>
      <w:r w:rsidR="00EC4736" w:rsidRPr="00EC4736">
        <w:rPr>
          <w:rStyle w:val="FootnoteReference"/>
        </w:rPr>
        <w:t xml:space="preserve"> </w:t>
      </w:r>
      <w:r w:rsidR="00EC4736">
        <w:rPr>
          <w:rStyle w:val="FootnoteReference"/>
        </w:rPr>
        <w:footnoteReference w:id="29"/>
      </w:r>
      <w:r w:rsidR="00EC4736">
        <w:t xml:space="preserve"> </w:t>
      </w:r>
      <w:r w:rsidR="00351E3B" w:rsidRPr="00846B6E">
        <w:t xml:space="preserve"> in addition to other recent legislative progress on large load interconnection, statutory storage targets, and grid utilization metrics (see Appendix D).</w:t>
      </w:r>
      <w:r w:rsidR="00683F48" w:rsidRPr="00846B6E">
        <w:t xml:space="preserve"> Building on this momentum and on NEM progress to date, </w:t>
      </w:r>
      <w:r w:rsidR="00683F48" w:rsidRPr="00683F48">
        <w:rPr>
          <w:b/>
          <w:bCs/>
        </w:rPr>
        <w:t>Virginia's near-term opportunity is to move from a set of individual DER programs (shared solar, standalone storage targets, demand-flexibility pilots) toward a common, coordinated DER deployment and aggregation framework, taking a systems approach to comprehensively support deployment at scale</w:t>
      </w:r>
      <w:r w:rsidR="00683F48" w:rsidRPr="00846B6E">
        <w:t>.</w:t>
      </w:r>
      <w:r>
        <w:t xml:space="preserve"> Near-term objectives are also shaped by FERC’s Order 2222 compliance timeline, which has established a proposed compliance deadline of February 1, 2028, for PJM to implement operational and technical changes to allow VPPs to participate in wholesale energy, ancillary services, and capacity markets.</w:t>
      </w:r>
      <w:r>
        <w:rPr>
          <w:rStyle w:val="FootnoteReference"/>
        </w:rPr>
        <w:footnoteReference w:id="30"/>
      </w:r>
      <w:r>
        <w:t xml:space="preserve"> As described in </w:t>
      </w:r>
      <w:r w:rsidRPr="00DC0F13">
        <w:t xml:space="preserve">Section </w:t>
      </w:r>
      <w:r w:rsidR="00DC0F13" w:rsidRPr="00DC0F13">
        <w:t>5.3</w:t>
      </w:r>
      <w:r>
        <w:t xml:space="preserve">, </w:t>
      </w:r>
      <w:r w:rsidR="00985595">
        <w:t xml:space="preserve">Virginia can </w:t>
      </w:r>
      <w:r>
        <w:t xml:space="preserve">support </w:t>
      </w:r>
      <w:r w:rsidR="007D5D15">
        <w:t xml:space="preserve">harmonizing state-level policies to support </w:t>
      </w:r>
      <w:r>
        <w:t xml:space="preserve">implementation of Order 2222 </w:t>
      </w:r>
      <w:r w:rsidR="007D5D15">
        <w:t xml:space="preserve"> so that aggregated DERs can better participate in PJM wholesale markets</w:t>
      </w:r>
      <w:r w:rsidR="0099188B">
        <w:t xml:space="preserve"> as </w:t>
      </w:r>
      <w:r w:rsidR="00146F64">
        <w:t xml:space="preserve">injecting </w:t>
      </w:r>
      <w:r w:rsidR="0099188B">
        <w:t xml:space="preserve">resources in the future, complementing current opportunities for DERs to participate as </w:t>
      </w:r>
      <w:r w:rsidR="0099188B" w:rsidDel="00146F64">
        <w:t>demand</w:t>
      </w:r>
      <w:r w:rsidR="00146F64">
        <w:t xml:space="preserve"> response </w:t>
      </w:r>
      <w:r w:rsidR="0099188B">
        <w:t>resources</w:t>
      </w:r>
      <w:r w:rsidR="00DC7CB5">
        <w:t>.</w:t>
      </w:r>
      <w:r w:rsidR="0099188B">
        <w:t xml:space="preserve"> </w:t>
      </w:r>
    </w:p>
    <w:p w14:paraId="703498F9" w14:textId="6811E448" w:rsidR="00AF0C6F" w:rsidRDefault="00AF0C6F" w:rsidP="00AF0C6F">
      <w:pPr>
        <w:spacing w:after="240"/>
      </w:pPr>
      <w:r>
        <w:rPr>
          <w:b/>
          <w:bCs/>
        </w:rPr>
        <w:t xml:space="preserve">Long-term: </w:t>
      </w:r>
      <w:r w:rsidRPr="00C317E1">
        <w:rPr>
          <w:b/>
        </w:rPr>
        <w:t>Over the longer term, DERs and VPPs are positioned to become a standing component of how Virginia balances a decarbonizing, increasingly variable generation fleet against continued load growth</w:t>
      </w:r>
      <w:r>
        <w:t xml:space="preserve">, a powerful complement to and enabler of the utility-scale solar, wind, and storage buildout called for in the Virginia Clean Economy Act. DERs will improve the utilization of these bulk generation investments and give the Commonwealth lower-cost, faster-to-deploy tools to keep pace with rapid, uncertain load growth in out years. DERs are also envisioned to become integral tools in distribution system planning over the long term, with the Commonwealth’s utilities considering DERs </w:t>
      </w:r>
      <w:r w:rsidR="00146F64">
        <w:t xml:space="preserve">alongside </w:t>
      </w:r>
      <w:r>
        <w:t xml:space="preserve">traditional grid infrastructure </w:t>
      </w:r>
      <w:r w:rsidR="00146F64">
        <w:t xml:space="preserve">solutions </w:t>
      </w:r>
      <w:r>
        <w:t xml:space="preserve">in their integrated resource planning. </w:t>
      </w:r>
    </w:p>
    <w:p w14:paraId="1EDD58DD" w14:textId="31932C28" w:rsidR="004477BD" w:rsidRPr="002C67AC" w:rsidRDefault="002C67AC" w:rsidP="002C67AC">
      <w:pPr>
        <w:pStyle w:val="Caption"/>
        <w:keepNext/>
        <w:spacing w:before="120" w:after="120"/>
        <w:jc w:val="center"/>
        <w:rPr>
          <w:b/>
          <w:i w:val="0"/>
          <w:color w:val="000000" w:themeColor="text1"/>
          <w:sz w:val="20"/>
          <w:szCs w:val="20"/>
        </w:rPr>
      </w:pPr>
      <w:r w:rsidRPr="00784C77">
        <w:rPr>
          <w:b/>
          <w:bCs/>
          <w:i w:val="0"/>
          <w:iCs w:val="0"/>
          <w:color w:val="000000" w:themeColor="text1"/>
          <w:sz w:val="20"/>
          <w:szCs w:val="20"/>
        </w:rPr>
        <w:t xml:space="preserve">Case Study </w:t>
      </w:r>
      <w:r>
        <w:rPr>
          <w:b/>
          <w:bCs/>
          <w:i w:val="0"/>
          <w:iCs w:val="0"/>
          <w:color w:val="000000" w:themeColor="text1"/>
          <w:sz w:val="20"/>
          <w:szCs w:val="20"/>
        </w:rPr>
        <w:t>3</w:t>
      </w:r>
      <w:r w:rsidRPr="00784C77">
        <w:rPr>
          <w:b/>
          <w:bCs/>
          <w:i w:val="0"/>
          <w:iCs w:val="0"/>
          <w:color w:val="000000" w:themeColor="text1"/>
          <w:sz w:val="20"/>
          <w:szCs w:val="20"/>
        </w:rPr>
        <w:t xml:space="preserve">: </w:t>
      </w:r>
      <w:r w:rsidR="006B2F2F" w:rsidRPr="006B2F2F">
        <w:rPr>
          <w:b/>
          <w:bCs/>
          <w:i w:val="0"/>
          <w:iCs w:val="0"/>
          <w:color w:val="000000" w:themeColor="text1"/>
          <w:sz w:val="20"/>
          <w:szCs w:val="20"/>
        </w:rPr>
        <w:t xml:space="preserve">Coordinated </w:t>
      </w:r>
      <w:r w:rsidR="006B2F2F">
        <w:rPr>
          <w:b/>
          <w:bCs/>
          <w:i w:val="0"/>
          <w:iCs w:val="0"/>
          <w:color w:val="000000" w:themeColor="text1"/>
          <w:sz w:val="20"/>
          <w:szCs w:val="20"/>
        </w:rPr>
        <w:t>D</w:t>
      </w:r>
      <w:r w:rsidR="006B2F2F" w:rsidRPr="006B2F2F">
        <w:rPr>
          <w:b/>
          <w:bCs/>
          <w:i w:val="0"/>
          <w:iCs w:val="0"/>
          <w:color w:val="000000" w:themeColor="text1"/>
          <w:sz w:val="20"/>
          <w:szCs w:val="20"/>
        </w:rPr>
        <w:t xml:space="preserve">ispatch of </w:t>
      </w:r>
      <w:r w:rsidR="003B3E9E">
        <w:rPr>
          <w:b/>
          <w:bCs/>
          <w:i w:val="0"/>
          <w:iCs w:val="0"/>
          <w:color w:val="000000" w:themeColor="text1"/>
          <w:sz w:val="20"/>
          <w:szCs w:val="20"/>
        </w:rPr>
        <w:t xml:space="preserve">over </w:t>
      </w:r>
      <w:r w:rsidR="006B2F2F" w:rsidRPr="006B2F2F">
        <w:rPr>
          <w:b/>
          <w:bCs/>
          <w:i w:val="0"/>
          <w:iCs w:val="0"/>
          <w:color w:val="000000" w:themeColor="text1"/>
          <w:sz w:val="20"/>
          <w:szCs w:val="20"/>
        </w:rPr>
        <w:t xml:space="preserve">100,000 </w:t>
      </w:r>
      <w:r w:rsidR="006B2F2F">
        <w:rPr>
          <w:b/>
          <w:bCs/>
          <w:i w:val="0"/>
          <w:iCs w:val="0"/>
          <w:color w:val="000000" w:themeColor="text1"/>
          <w:sz w:val="20"/>
          <w:szCs w:val="20"/>
        </w:rPr>
        <w:t>R</w:t>
      </w:r>
      <w:r w:rsidR="006B2F2F" w:rsidRPr="006B2F2F">
        <w:rPr>
          <w:b/>
          <w:bCs/>
          <w:i w:val="0"/>
          <w:iCs w:val="0"/>
          <w:color w:val="000000" w:themeColor="text1"/>
          <w:sz w:val="20"/>
          <w:szCs w:val="20"/>
        </w:rPr>
        <w:t xml:space="preserve">esidential </w:t>
      </w:r>
      <w:r w:rsidR="006B2F2F">
        <w:rPr>
          <w:b/>
          <w:bCs/>
          <w:i w:val="0"/>
          <w:iCs w:val="0"/>
          <w:color w:val="000000" w:themeColor="text1"/>
          <w:sz w:val="20"/>
          <w:szCs w:val="20"/>
        </w:rPr>
        <w:t>B</w:t>
      </w:r>
      <w:r w:rsidR="006B2F2F" w:rsidRPr="006B2F2F">
        <w:rPr>
          <w:b/>
          <w:bCs/>
          <w:i w:val="0"/>
          <w:iCs w:val="0"/>
          <w:color w:val="000000" w:themeColor="text1"/>
          <w:sz w:val="20"/>
          <w:szCs w:val="20"/>
        </w:rPr>
        <w:t xml:space="preserve">atteries </w:t>
      </w:r>
      <w:r w:rsidR="006B2F2F">
        <w:rPr>
          <w:b/>
          <w:bCs/>
          <w:i w:val="0"/>
          <w:iCs w:val="0"/>
          <w:color w:val="000000" w:themeColor="text1"/>
          <w:sz w:val="20"/>
          <w:szCs w:val="20"/>
        </w:rPr>
        <w:t>D</w:t>
      </w:r>
      <w:r w:rsidR="006B2F2F" w:rsidRPr="006B2F2F">
        <w:rPr>
          <w:b/>
          <w:bCs/>
          <w:i w:val="0"/>
          <w:iCs w:val="0"/>
          <w:color w:val="000000" w:themeColor="text1"/>
          <w:sz w:val="20"/>
          <w:szCs w:val="20"/>
        </w:rPr>
        <w:t xml:space="preserve">uring </w:t>
      </w:r>
      <w:r w:rsidR="006B2F2F">
        <w:rPr>
          <w:b/>
          <w:bCs/>
          <w:i w:val="0"/>
          <w:iCs w:val="0"/>
          <w:color w:val="000000" w:themeColor="text1"/>
          <w:sz w:val="20"/>
          <w:szCs w:val="20"/>
        </w:rPr>
        <w:t>E</w:t>
      </w:r>
      <w:r w:rsidR="006B2F2F" w:rsidRPr="006B2F2F">
        <w:rPr>
          <w:b/>
          <w:bCs/>
          <w:i w:val="0"/>
          <w:iCs w:val="0"/>
          <w:color w:val="000000" w:themeColor="text1"/>
          <w:sz w:val="20"/>
          <w:szCs w:val="20"/>
        </w:rPr>
        <w:t xml:space="preserve">vening </w:t>
      </w:r>
      <w:r w:rsidR="006B2F2F">
        <w:rPr>
          <w:b/>
          <w:bCs/>
          <w:i w:val="0"/>
          <w:iCs w:val="0"/>
          <w:color w:val="000000" w:themeColor="text1"/>
          <w:sz w:val="20"/>
          <w:szCs w:val="20"/>
        </w:rPr>
        <w:t>P</w:t>
      </w:r>
      <w:r w:rsidR="006B2F2F" w:rsidRPr="006B2F2F">
        <w:rPr>
          <w:b/>
          <w:bCs/>
          <w:i w:val="0"/>
          <w:iCs w:val="0"/>
          <w:color w:val="000000" w:themeColor="text1"/>
          <w:sz w:val="20"/>
          <w:szCs w:val="20"/>
        </w:rPr>
        <w:t>eak</w:t>
      </w:r>
      <w:r w:rsidR="00150413">
        <w:rPr>
          <w:rStyle w:val="FootnoteReference"/>
          <w:b/>
          <w:bCs/>
          <w:i w:val="0"/>
          <w:iCs w:val="0"/>
          <w:color w:val="000000" w:themeColor="text1"/>
          <w:sz w:val="20"/>
          <w:szCs w:val="20"/>
        </w:rPr>
        <w:footnoteReference w:id="31"/>
      </w:r>
    </w:p>
    <w:p w14:paraId="4B47307A" w14:textId="2325A0CC" w:rsidR="00065040" w:rsidRDefault="002C67AC" w:rsidP="00F435F1">
      <w:pPr>
        <w:spacing w:after="200"/>
        <w:jc w:val="both"/>
        <w:rPr>
          <w:b/>
          <w:bCs/>
        </w:rPr>
      </w:pPr>
      <w:r w:rsidRPr="00960C0B">
        <w:rPr>
          <w:b/>
          <w:bCs/>
          <w:noProof/>
        </w:rPr>
        <mc:AlternateContent>
          <mc:Choice Requires="wps">
            <w:drawing>
              <wp:inline distT="0" distB="0" distL="0" distR="0" wp14:anchorId="75966701" wp14:editId="25FA9AB5">
                <wp:extent cx="5887720" cy="1404620"/>
                <wp:effectExtent l="0" t="0" r="17780" b="20320"/>
                <wp:docPr id="1438836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7720" cy="1404620"/>
                        </a:xfrm>
                        <a:prstGeom prst="rect">
                          <a:avLst/>
                        </a:prstGeom>
                        <a:solidFill>
                          <a:schemeClr val="bg1">
                            <a:lumMod val="85000"/>
                          </a:schemeClr>
                        </a:solidFill>
                        <a:ln w="9525">
                          <a:solidFill>
                            <a:srgbClr val="000000"/>
                          </a:solidFill>
                          <a:miter lim="800000"/>
                          <a:headEnd/>
                          <a:tailEnd/>
                        </a:ln>
                      </wps:spPr>
                      <wps:txbx>
                        <w:txbxContent>
                          <w:p w14:paraId="30E38302" w14:textId="4312F2FD" w:rsidR="002C67AC" w:rsidRPr="00784C77" w:rsidRDefault="001F05C7" w:rsidP="002C67AC">
                            <w:pPr>
                              <w:rPr>
                                <w:sz w:val="20"/>
                                <w:szCs w:val="20"/>
                              </w:rPr>
                            </w:pPr>
                            <w:r>
                              <w:rPr>
                                <w:b/>
                                <w:bCs/>
                                <w:sz w:val="20"/>
                                <w:szCs w:val="20"/>
                              </w:rPr>
                              <w:t>Sunrun &amp; Tesla</w:t>
                            </w:r>
                            <w:r w:rsidR="002C67AC" w:rsidRPr="00784C77">
                              <w:rPr>
                                <w:b/>
                                <w:bCs/>
                                <w:sz w:val="20"/>
                                <w:szCs w:val="20"/>
                              </w:rPr>
                              <w:t xml:space="preserve"> (</w:t>
                            </w:r>
                            <w:r w:rsidR="00BE20A6">
                              <w:rPr>
                                <w:b/>
                                <w:bCs/>
                                <w:sz w:val="20"/>
                                <w:szCs w:val="20"/>
                              </w:rPr>
                              <w:t>California</w:t>
                            </w:r>
                            <w:r w:rsidR="002C67AC" w:rsidRPr="00784C77">
                              <w:rPr>
                                <w:b/>
                                <w:bCs/>
                                <w:sz w:val="20"/>
                                <w:szCs w:val="20"/>
                              </w:rPr>
                              <w:t xml:space="preserve">) — </w:t>
                            </w:r>
                            <w:r w:rsidR="00BE20A6" w:rsidRPr="00BE20A6">
                              <w:rPr>
                                <w:sz w:val="20"/>
                                <w:szCs w:val="20"/>
                              </w:rPr>
                              <w:t xml:space="preserve">On July 29, 2025, more than 100,000 residential batteries delivered approximately 535–539 MW during the 7:00–9:00 </w:t>
                            </w:r>
                            <w:r w:rsidR="0057797C">
                              <w:rPr>
                                <w:sz w:val="20"/>
                                <w:szCs w:val="20"/>
                              </w:rPr>
                              <w:t>PM</w:t>
                            </w:r>
                            <w:r w:rsidR="00BE20A6" w:rsidRPr="00BE20A6">
                              <w:rPr>
                                <w:sz w:val="20"/>
                                <w:szCs w:val="20"/>
                              </w:rPr>
                              <w:t xml:space="preserve"> peak period. Sunrun contributed approximately 360 MW. The fleet produced flat, predictable output comparable to a conventional peaking resource. The 539-megawatt dispatch was equivalent to the output of a mid-size natural gas plant.</w:t>
                            </w:r>
                            <w:r w:rsidR="0057797C">
                              <w:rPr>
                                <w:sz w:val="20"/>
                                <w:szCs w:val="20"/>
                              </w:rPr>
                              <w:t xml:space="preserve"> Participation was facilitated through DSGS and ELRP programs, and</w:t>
                            </w:r>
                            <w:r w:rsidR="004616C3">
                              <w:rPr>
                                <w:sz w:val="20"/>
                                <w:szCs w:val="20"/>
                              </w:rPr>
                              <w:t xml:space="preserve"> the impact demonstrated that aggregated home batteries can perform like a utility-scale peak resource.</w:t>
                            </w:r>
                          </w:p>
                        </w:txbxContent>
                      </wps:txbx>
                      <wps:bodyPr rot="0" vert="horz" wrap="square" lIns="91440" tIns="45720" rIns="91440" bIns="45720" anchor="t" anchorCtr="0">
                        <a:spAutoFit/>
                      </wps:bodyPr>
                    </wps:wsp>
                  </a:graphicData>
                </a:graphic>
              </wp:inline>
            </w:drawing>
          </mc:Choice>
          <mc:Fallback>
            <w:pict>
              <v:shape w14:anchorId="75966701" id="_x0000_s1028" type="#_x0000_t202" style="width:463.6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" fillcolor="#d8d8d8 [2732]">
                <v:textbox style="mso-fit-shape-to-text:t">
                  <w:txbxContent>
                    <w:p w14:paraId="30E38302" w14:textId="4312F2FD" w:rsidR="002C67AC" w:rsidRPr="00784C77" w:rsidRDefault="001F05C7" w:rsidP="002C67AC">
                      <w:pPr>
                        <w:rPr>
                          <w:sz w:val="20"/>
                          <w:szCs w:val="20"/>
                        </w:rPr>
                      </w:pPr>
                      <w:r>
                        <w:rPr>
                          <w:b/>
                          <w:bCs/>
                          <w:sz w:val="20"/>
                          <w:szCs w:val="20"/>
                        </w:rPr>
                        <w:t>Sunrun &amp; Tesla</w:t>
                      </w:r>
                      <w:r w:rsidR="002C67AC" w:rsidRPr="00784C77">
                        <w:rPr>
                          <w:b/>
                          <w:bCs/>
                          <w:sz w:val="20"/>
                          <w:szCs w:val="20"/>
                        </w:rPr>
                        <w:t xml:space="preserve"> (</w:t>
                      </w:r>
                      <w:r w:rsidR="00BE20A6">
                        <w:rPr>
                          <w:b/>
                          <w:bCs/>
                          <w:sz w:val="20"/>
                          <w:szCs w:val="20"/>
                        </w:rPr>
                        <w:t>California</w:t>
                      </w:r>
                      <w:r w:rsidR="002C67AC" w:rsidRPr="00784C77">
                        <w:rPr>
                          <w:b/>
                          <w:bCs/>
                          <w:sz w:val="20"/>
                          <w:szCs w:val="20"/>
                        </w:rPr>
                        <w:t xml:space="preserve">) — </w:t>
                      </w:r>
                      <w:r w:rsidR="00BE20A6" w:rsidRPr="00BE20A6">
                        <w:rPr>
                          <w:sz w:val="20"/>
                          <w:szCs w:val="20"/>
                        </w:rPr>
                        <w:t xml:space="preserve">On July 29, 2025, more than 100,000 residential batteries delivered approximately 535–539 MW during the 7:00–9:00 </w:t>
                      </w:r>
                      <w:r w:rsidR="0057797C">
                        <w:rPr>
                          <w:sz w:val="20"/>
                          <w:szCs w:val="20"/>
                        </w:rPr>
                        <w:t>PM</w:t>
                      </w:r>
                      <w:r w:rsidR="00BE20A6" w:rsidRPr="00BE20A6">
                        <w:rPr>
                          <w:sz w:val="20"/>
                          <w:szCs w:val="20"/>
                        </w:rPr>
                        <w:t xml:space="preserve"> peak period. Sunrun contributed approximately 360 MW. The fleet produced flat, predictable output comparable to a conventional peaking resource. The 539-megawatt dispatch was equivalent to the output of a mid-size natural gas plant.</w:t>
                      </w:r>
                      <w:r w:rsidR="0057797C">
                        <w:rPr>
                          <w:sz w:val="20"/>
                          <w:szCs w:val="20"/>
                        </w:rPr>
                        <w:t xml:space="preserve"> Participation was facilitated through DSGS and ELRP programs, and</w:t>
                      </w:r>
                      <w:r w:rsidR="004616C3">
                        <w:rPr>
                          <w:sz w:val="20"/>
                          <w:szCs w:val="20"/>
                        </w:rPr>
                        <w:t xml:space="preserve"> the impact demonstrated that aggregated home batteries can perform like a utility-scale peak resource.</w:t>
                      </w:r>
                    </w:p>
                  </w:txbxContent>
                </v:textbox>
                <w10:anchorlock/>
              </v:shape>
            </w:pict>
          </mc:Fallback>
        </mc:AlternateContent>
      </w:r>
    </w:p>
    <w:p w14:paraId="55E305A8" w14:textId="559BADCE" w:rsidR="00AF0C6F" w:rsidRDefault="00D953CA" w:rsidP="003A2DDB">
      <w:pPr>
        <w:spacing w:after="200"/>
        <w:rPr>
          <w:b/>
          <w:bCs/>
        </w:rPr>
      </w:pPr>
      <w:r>
        <w:t xml:space="preserve">Achieving this vision will require </w:t>
      </w:r>
      <w:r w:rsidR="00AF0C6F">
        <w:t xml:space="preserve">market, technical, and regulatory actions to further support DER adoption and </w:t>
      </w:r>
      <w:r>
        <w:t>aggregation</w:t>
      </w:r>
      <w:r w:rsidR="006817FA">
        <w:t xml:space="preserve">, </w:t>
      </w:r>
      <w:r w:rsidR="000D18E6">
        <w:t xml:space="preserve">with broad engagement and participation from Virginia utilities, DER providers and VPP aggregators, </w:t>
      </w:r>
      <w:r w:rsidR="009438E4">
        <w:t>the SCC,</w:t>
      </w:r>
      <w:r w:rsidR="00494862">
        <w:t xml:space="preserve"> state agencies, consumer and energy advocacy, and other stakeholders. Actions to support Virginia moving further toward these long-term outcomes are</w:t>
      </w:r>
      <w:r w:rsidR="00AF0C6F">
        <w:t xml:space="preserve"> discussed in </w:t>
      </w:r>
      <w:r w:rsidR="00AF0C6F" w:rsidRPr="002D462B">
        <w:rPr>
          <w:i/>
          <w:iCs/>
        </w:rPr>
        <w:t>Section 5: Task Force Findings &amp; Recommendations</w:t>
      </w:r>
      <w:r w:rsidR="00AF0C6F">
        <w:t>.</w:t>
      </w:r>
    </w:p>
    <w:p w14:paraId="2290F9B4" w14:textId="06B11CD0" w:rsidR="005D6CE7" w:rsidRPr="0041421A" w:rsidRDefault="00995D1A" w:rsidP="00160BBE">
      <w:pPr>
        <w:pStyle w:val="Heading1"/>
        <w:pageBreakBefore/>
        <w:pBdr>
          <w:bottom w:val="single" w:sz="10" w:space="6" w:color="1F3A5F"/>
        </w:pBdr>
        <w:spacing w:after="240"/>
        <w:rPr>
          <w:rFonts w:eastAsia="Georgia"/>
          <w:b/>
          <w:color w:val="1F3A5F"/>
        </w:rPr>
      </w:pPr>
      <w:bookmarkStart w:id="639" w:name="_Toc1635176067"/>
      <w:bookmarkStart w:id="640" w:name="_Toc1376719586"/>
      <w:bookmarkStart w:id="641" w:name="_Toc2051603727"/>
      <w:bookmarkStart w:id="642" w:name="_Toc1539768624"/>
      <w:bookmarkStart w:id="643" w:name="_Toc1947102302"/>
      <w:bookmarkStart w:id="644" w:name="_Toc634344237"/>
      <w:bookmarkStart w:id="645" w:name="_Toc2109615682"/>
      <w:bookmarkStart w:id="646" w:name="_Toc1813221598"/>
      <w:bookmarkStart w:id="647" w:name="_Toc1343064875"/>
      <w:bookmarkStart w:id="648" w:name="_Toc2023643703"/>
      <w:bookmarkStart w:id="649" w:name="_Toc638224440"/>
      <w:bookmarkStart w:id="650" w:name="_Toc1879581611"/>
      <w:bookmarkStart w:id="651" w:name="_Toc1845841238"/>
      <w:bookmarkStart w:id="652" w:name="_Toc1756794006"/>
      <w:bookmarkStart w:id="653" w:name="_Toc179969156"/>
      <w:bookmarkStart w:id="654" w:name="_Toc1006586765"/>
      <w:bookmarkStart w:id="655" w:name="_Toc1501003119"/>
      <w:bookmarkStart w:id="656" w:name="_Toc1581453753"/>
      <w:bookmarkStart w:id="657" w:name="_Toc2102742879"/>
      <w:bookmarkStart w:id="658" w:name="_Toc1039849235"/>
      <w:bookmarkStart w:id="659" w:name="_Toc1334640365"/>
      <w:bookmarkStart w:id="660" w:name="_Toc37947766"/>
      <w:bookmarkStart w:id="661" w:name="_Toc406334293"/>
      <w:bookmarkStart w:id="662" w:name="_Toc710203867"/>
      <w:bookmarkStart w:id="663" w:name="_Toc1275995398"/>
      <w:bookmarkStart w:id="664" w:name="_Toc1034668648"/>
      <w:bookmarkStart w:id="665" w:name="_Toc338934348"/>
      <w:bookmarkStart w:id="666" w:name="_Toc926628240"/>
      <w:bookmarkStart w:id="667" w:name="_Toc2054902122"/>
      <w:bookmarkStart w:id="668" w:name="_Toc452629680"/>
      <w:bookmarkStart w:id="669" w:name="_Toc1340822094"/>
      <w:bookmarkStart w:id="670" w:name="_Toc1648821811"/>
      <w:bookmarkStart w:id="671" w:name="_Toc2076859420"/>
      <w:bookmarkStart w:id="672" w:name="_Toc504384157"/>
      <w:bookmarkStart w:id="673" w:name="_Toc842731431"/>
      <w:bookmarkStart w:id="674" w:name="_Toc263320888"/>
      <w:bookmarkStart w:id="675" w:name="_Toc1064433471"/>
      <w:bookmarkStart w:id="676" w:name="_Toc1660056952"/>
      <w:bookmarkStart w:id="677" w:name="_Toc653725297"/>
      <w:bookmarkStart w:id="678" w:name="_Toc737181831"/>
      <w:bookmarkStart w:id="679" w:name="_Toc162088539"/>
      <w:bookmarkStart w:id="680" w:name="_Toc1595573789"/>
      <w:bookmarkStart w:id="681" w:name="_Toc710821853"/>
      <w:bookmarkStart w:id="682" w:name="_Toc272554298"/>
      <w:bookmarkStart w:id="683" w:name="_Toc1509743097"/>
      <w:bookmarkStart w:id="684" w:name="_Toc340383590"/>
      <w:bookmarkStart w:id="685" w:name="_Toc906374927"/>
      <w:bookmarkStart w:id="686" w:name="_Toc1261135852"/>
      <w:bookmarkStart w:id="687" w:name="_Toc239862893"/>
      <w:r w:rsidRPr="0041421A">
        <w:rPr>
          <w:rFonts w:eastAsia="Georgia"/>
          <w:b/>
          <w:bCs/>
          <w:color w:val="1F3A5F"/>
        </w:rPr>
        <w:t>4. Current</w:t>
      </w:r>
      <w:r w:rsidR="00E32C59">
        <w:rPr>
          <w:rFonts w:eastAsia="Georgia"/>
          <w:b/>
          <w:bCs/>
          <w:color w:val="1F3A5F"/>
        </w:rPr>
        <w:t xml:space="preserve"> State</w:t>
      </w:r>
      <w:r w:rsidR="00835BA2">
        <w:rPr>
          <w:rFonts w:eastAsia="Georgia"/>
          <w:b/>
          <w:bCs/>
          <w:color w:val="1F3A5F"/>
        </w:rPr>
        <w:t xml:space="preserve"> </w:t>
      </w:r>
      <w:r w:rsidRPr="0041421A">
        <w:rPr>
          <w:rFonts w:eastAsia="Georgia"/>
          <w:b/>
          <w:bCs/>
          <w:color w:val="1F3A5F"/>
        </w:rPr>
        <w:t>of DERs in Virginia</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2C01C1EB" w14:textId="76753660" w:rsidR="006E2994" w:rsidRDefault="006E2994" w:rsidP="00B745A4">
      <w:pPr>
        <w:spacing w:after="200"/>
        <w:jc w:val="both"/>
      </w:pPr>
      <w:r>
        <w:t xml:space="preserve">This section provides an overview of the current status of the electricity sector and DER deployment in the Commonwealth to contextualize the need for the recommendations put forward by the Task Force in Section 5, which will serve to drive aggregation of the existing resources shown below in Figure </w:t>
      </w:r>
      <w:r w:rsidR="00025142">
        <w:t>3</w:t>
      </w:r>
      <w:r>
        <w:t xml:space="preserve">. It also describes the current status of FERC Order 2222 in Virginia, which also informs recommendations in Section 5.  </w:t>
      </w:r>
    </w:p>
    <w:p w14:paraId="3E16AF74" w14:textId="66A7A86B" w:rsidR="00835BA2" w:rsidRPr="00835BA2" w:rsidRDefault="00835BA2" w:rsidP="00835BA2">
      <w:pPr>
        <w:pStyle w:val="Heading2"/>
        <w:spacing w:after="160"/>
        <w:rPr>
          <w:rFonts w:eastAsia="Georgia"/>
          <w:b/>
          <w:color w:val="1F3A5F"/>
          <w:sz w:val="23"/>
          <w:szCs w:val="23"/>
        </w:rPr>
      </w:pPr>
      <w:bookmarkStart w:id="688" w:name="_Toc239862894"/>
      <w:r>
        <w:rPr>
          <w:rFonts w:eastAsia="Georgia"/>
          <w:b/>
          <w:color w:val="1F3A5F"/>
          <w:sz w:val="23"/>
          <w:szCs w:val="23"/>
        </w:rPr>
        <w:t>4.1</w:t>
      </w:r>
      <w:r w:rsidRPr="00C92B88">
        <w:rPr>
          <w:rFonts w:eastAsia="Georgia"/>
          <w:b/>
          <w:color w:val="1F3A5F"/>
          <w:sz w:val="23"/>
          <w:szCs w:val="23"/>
        </w:rPr>
        <w:t xml:space="preserve"> </w:t>
      </w:r>
      <w:r w:rsidR="00AE326B">
        <w:rPr>
          <w:rFonts w:eastAsia="Georgia"/>
          <w:b/>
          <w:color w:val="1F3A5F"/>
          <w:sz w:val="23"/>
          <w:szCs w:val="23"/>
        </w:rPr>
        <w:t>Legislative and Regulatory Foundations</w:t>
      </w:r>
      <w:r w:rsidR="00AF6A7D">
        <w:rPr>
          <w:rStyle w:val="FootnoteReference"/>
          <w:rFonts w:eastAsia="Georgia"/>
          <w:b/>
          <w:color w:val="1F3A5F"/>
          <w:sz w:val="23"/>
          <w:szCs w:val="23"/>
        </w:rPr>
        <w:footnoteReference w:customMarkFollows="1" w:id="32"/>
        <w:t>*</w:t>
      </w:r>
      <w:bookmarkEnd w:id="688"/>
      <w:r w:rsidRPr="00C92B88">
        <w:rPr>
          <w:rFonts w:eastAsia="Georgia"/>
          <w:b/>
          <w:color w:val="1F3A5F"/>
          <w:sz w:val="23"/>
          <w:szCs w:val="23"/>
        </w:rPr>
        <w:t xml:space="preserve"> </w:t>
      </w:r>
    </w:p>
    <w:p w14:paraId="572381AC" w14:textId="77777777" w:rsidR="006E2994" w:rsidRPr="00E554EE" w:rsidRDefault="006E2994" w:rsidP="00F435F1">
      <w:pPr>
        <w:spacing w:after="200"/>
        <w:jc w:val="both"/>
        <w:rPr>
          <w:b/>
          <w:bCs/>
        </w:rPr>
      </w:pPr>
      <w:r w:rsidRPr="00E554EE">
        <w:rPr>
          <w:b/>
          <w:bCs/>
        </w:rPr>
        <w:t xml:space="preserve">Virginia Foundations </w:t>
      </w:r>
    </w:p>
    <w:p w14:paraId="0ED77EC3" w14:textId="77777777" w:rsidR="00223930" w:rsidRDefault="00167254" w:rsidP="00F435F1">
      <w:pPr>
        <w:spacing w:after="200"/>
        <w:jc w:val="both"/>
      </w:pPr>
      <w:r>
        <w:t>Building on legislative milestones of the last decade</w:t>
      </w:r>
      <w:r w:rsidR="00625970">
        <w:t xml:space="preserve">, </w:t>
      </w:r>
      <w:r w:rsidR="002C40F8">
        <w:t>t</w:t>
      </w:r>
      <w:r w:rsidR="003257D8">
        <w:t xml:space="preserve">he Commonwealth </w:t>
      </w:r>
      <w:r w:rsidR="00D156CE">
        <w:t xml:space="preserve">made significant headway </w:t>
      </w:r>
      <w:r>
        <w:t>in 2026</w:t>
      </w:r>
      <w:r w:rsidR="00D156CE">
        <w:t xml:space="preserve"> </w:t>
      </w:r>
      <w:r w:rsidR="00955E1B">
        <w:t>expanding</w:t>
      </w:r>
      <w:r w:rsidR="00B50E7F">
        <w:t xml:space="preserve"> </w:t>
      </w:r>
      <w:r w:rsidR="00AA3EE0">
        <w:t>its</w:t>
      </w:r>
      <w:r w:rsidR="00B50E7F">
        <w:t xml:space="preserve"> </w:t>
      </w:r>
      <w:r w:rsidR="00866E78">
        <w:t xml:space="preserve">DER </w:t>
      </w:r>
      <w:r w:rsidR="00151CC0">
        <w:t>deployment</w:t>
      </w:r>
      <w:r w:rsidR="00866E78">
        <w:t xml:space="preserve"> </w:t>
      </w:r>
      <w:r w:rsidR="00C744B9">
        <w:t>outlook</w:t>
      </w:r>
      <w:r w:rsidR="00866E78">
        <w:t xml:space="preserve"> through</w:t>
      </w:r>
      <w:r w:rsidR="003257D8">
        <w:t xml:space="preserve"> </w:t>
      </w:r>
      <w:r w:rsidR="00016ED1">
        <w:t xml:space="preserve">targeted legislation </w:t>
      </w:r>
      <w:r w:rsidR="00347C4F">
        <w:t>passed by</w:t>
      </w:r>
      <w:r w:rsidR="00016ED1">
        <w:t xml:space="preserve"> the General Assembly</w:t>
      </w:r>
      <w:r w:rsidR="003257D8">
        <w:t xml:space="preserve">. The </w:t>
      </w:r>
      <w:r w:rsidR="003257D8" w:rsidRPr="00145672">
        <w:rPr>
          <w:i/>
        </w:rPr>
        <w:t>Virginia Clean Economy Act's</w:t>
      </w:r>
      <w:r w:rsidR="003257D8">
        <w:t xml:space="preserve"> </w:t>
      </w:r>
      <w:r w:rsidR="00870E12">
        <w:t>(2020)</w:t>
      </w:r>
      <w:r w:rsidR="003257D8">
        <w:t xml:space="preserve"> mandate</w:t>
      </w:r>
      <w:r w:rsidR="00AA0BBC">
        <w:t xml:space="preserve"> to transition the Commonwealth’s </w:t>
      </w:r>
      <w:r w:rsidR="007837C8">
        <w:t xml:space="preserve">two major investor-owned </w:t>
      </w:r>
      <w:r w:rsidR="00AA0BBC">
        <w:t xml:space="preserve">electric utilities </w:t>
      </w:r>
      <w:r w:rsidR="002E5F84">
        <w:t xml:space="preserve">toward carbon-free power by </w:t>
      </w:r>
      <w:r w:rsidR="00435877">
        <w:t>midcentury</w:t>
      </w:r>
      <w:r w:rsidR="003257D8">
        <w:t xml:space="preserve"> </w:t>
      </w:r>
      <w:r w:rsidR="007671E6">
        <w:t>was</w:t>
      </w:r>
      <w:r w:rsidR="003257D8">
        <w:t xml:space="preserve"> </w:t>
      </w:r>
      <w:r w:rsidR="00826587">
        <w:t>amended</w:t>
      </w:r>
      <w:r w:rsidR="00C97084">
        <w:t xml:space="preserve"> </w:t>
      </w:r>
      <w:r w:rsidR="00D57AAB">
        <w:t>by</w:t>
      </w:r>
      <w:r w:rsidR="003257D8">
        <w:t xml:space="preserve"> the </w:t>
      </w:r>
      <w:r w:rsidR="003257D8" w:rsidRPr="00145672">
        <w:rPr>
          <w:i/>
        </w:rPr>
        <w:t>Distributed Generation Expansion Act</w:t>
      </w:r>
      <w:r w:rsidR="005A1EEA">
        <w:t xml:space="preserve"> </w:t>
      </w:r>
      <w:r w:rsidR="00826587">
        <w:t xml:space="preserve">to </w:t>
      </w:r>
      <w:r w:rsidR="006C3C9C">
        <w:t>require</w:t>
      </w:r>
      <w:r w:rsidR="000021DE">
        <w:t xml:space="preserve"> </w:t>
      </w:r>
      <w:r w:rsidR="002778E5">
        <w:t>distributed generation</w:t>
      </w:r>
      <w:r w:rsidR="006C3C9C">
        <w:t xml:space="preserve"> </w:t>
      </w:r>
      <w:r w:rsidR="00C95FD2">
        <w:t>comprise a great</w:t>
      </w:r>
      <w:r w:rsidR="004D3FA5">
        <w:t xml:space="preserve">er share of </w:t>
      </w:r>
      <w:r w:rsidR="00081B19">
        <w:t xml:space="preserve">RPS compliance </w:t>
      </w:r>
      <w:r w:rsidR="000A3D96">
        <w:t>obligations</w:t>
      </w:r>
      <w:r w:rsidR="00081B19">
        <w:t xml:space="preserve"> (from 1% to 4.5%)</w:t>
      </w:r>
      <w:r w:rsidR="00D57AAB">
        <w:t>.</w:t>
      </w:r>
      <w:r w:rsidR="00D57AAB">
        <w:rPr>
          <w:vertAlign w:val="superscript"/>
        </w:rPr>
        <w:footnoteReference w:id="33"/>
      </w:r>
      <w:r w:rsidR="003257D8">
        <w:t xml:space="preserve"> </w:t>
      </w:r>
      <w:r w:rsidR="00D531C1">
        <w:t>T</w:t>
      </w:r>
      <w:r w:rsidR="00DE1A83">
        <w:t xml:space="preserve">he </w:t>
      </w:r>
      <w:r w:rsidR="003257D8">
        <w:t xml:space="preserve">General Assembly </w:t>
      </w:r>
      <w:r w:rsidR="00FD6101">
        <w:t>also</w:t>
      </w:r>
      <w:r w:rsidR="003257D8">
        <w:t xml:space="preserve"> authorized </w:t>
      </w:r>
      <w:r w:rsidR="00634C76">
        <w:t>expansion of</w:t>
      </w:r>
      <w:r w:rsidR="003257D8">
        <w:t xml:space="preserve"> Dominion and Appalachian Power's </w:t>
      </w:r>
      <w:r w:rsidR="00580B09">
        <w:t xml:space="preserve">combined </w:t>
      </w:r>
      <w:r w:rsidR="0089356D">
        <w:t>original</w:t>
      </w:r>
      <w:r w:rsidR="00580B09">
        <w:t xml:space="preserve"> 250 MW</w:t>
      </w:r>
      <w:r w:rsidR="003257D8">
        <w:t xml:space="preserve"> shared</w:t>
      </w:r>
      <w:r w:rsidR="00B6575C">
        <w:t xml:space="preserve"> </w:t>
      </w:r>
      <w:r w:rsidR="003257D8">
        <w:t>solar programs (which are fully subscribed</w:t>
      </w:r>
      <w:r w:rsidR="00A12EFA">
        <w:t>)</w:t>
      </w:r>
      <w:r w:rsidR="003257D8">
        <w:t xml:space="preserve"> </w:t>
      </w:r>
      <w:r w:rsidR="00D74D2A">
        <w:t>to</w:t>
      </w:r>
      <w:r w:rsidR="00340BE7" w:rsidRPr="00634C76">
        <w:t xml:space="preserve"> </w:t>
      </w:r>
      <w:r w:rsidR="00E3001D">
        <w:t xml:space="preserve">a combined </w:t>
      </w:r>
      <w:r w:rsidR="00634C76" w:rsidRPr="00634C76">
        <w:t>625</w:t>
      </w:r>
      <w:r w:rsidR="00634C76">
        <w:t xml:space="preserve"> MW</w:t>
      </w:r>
      <w:r w:rsidR="00A50D1A">
        <w:t>;</w:t>
      </w:r>
      <w:r w:rsidR="003257D8">
        <w:rPr>
          <w:vertAlign w:val="superscript"/>
        </w:rPr>
        <w:footnoteReference w:id="34"/>
      </w:r>
      <w:r w:rsidR="003257D8">
        <w:t xml:space="preserve"> statutory storage </w:t>
      </w:r>
      <w:r w:rsidR="00AB5DFF">
        <w:t>procurement</w:t>
      </w:r>
      <w:r w:rsidR="003257D8">
        <w:t xml:space="preserve"> targets </w:t>
      </w:r>
      <w:r w:rsidR="007959DE">
        <w:t>were</w:t>
      </w:r>
      <w:r w:rsidR="003257D8">
        <w:t xml:space="preserve"> raised </w:t>
      </w:r>
      <w:r w:rsidR="00142880">
        <w:t>to over 20,000 MW</w:t>
      </w:r>
      <w:r w:rsidR="00FC5518">
        <w:t xml:space="preserve"> by midcentury</w:t>
      </w:r>
      <w:r w:rsidR="003257D8">
        <w:t>,</w:t>
      </w:r>
      <w:r w:rsidR="00117845">
        <w:t xml:space="preserve"> </w:t>
      </w:r>
      <w:r w:rsidR="009B77A6">
        <w:t xml:space="preserve">with a </w:t>
      </w:r>
      <w:r w:rsidR="00117845">
        <w:t xml:space="preserve">10% </w:t>
      </w:r>
      <w:r w:rsidR="009B77A6">
        <w:t>behind</w:t>
      </w:r>
      <w:r w:rsidR="00780C3F">
        <w:t>-</w:t>
      </w:r>
      <w:r w:rsidR="009B77A6">
        <w:t>the</w:t>
      </w:r>
      <w:r w:rsidR="00780C3F">
        <w:t>-</w:t>
      </w:r>
      <w:r w:rsidR="009B77A6">
        <w:t xml:space="preserve">meter </w:t>
      </w:r>
      <w:r w:rsidR="00FC5518">
        <w:t xml:space="preserve">carveout </w:t>
      </w:r>
      <w:r w:rsidR="00780C3F">
        <w:t>goal</w:t>
      </w:r>
      <w:r w:rsidR="00B97635">
        <w:t>;</w:t>
      </w:r>
      <w:r w:rsidR="003257D8">
        <w:rPr>
          <w:vertAlign w:val="superscript"/>
        </w:rPr>
        <w:footnoteReference w:id="35"/>
      </w:r>
      <w:r w:rsidR="003257D8">
        <w:t xml:space="preserve"> a new statewide automated permitting platform for </w:t>
      </w:r>
      <w:r w:rsidR="00082050">
        <w:t>residential</w:t>
      </w:r>
      <w:r w:rsidR="003257D8">
        <w:t xml:space="preserve"> solar projects </w:t>
      </w:r>
      <w:r w:rsidR="00106ECD">
        <w:t>was authorized</w:t>
      </w:r>
      <w:r w:rsidR="007073D4">
        <w:t xml:space="preserve"> for rollout in 2027</w:t>
      </w:r>
      <w:r w:rsidR="003C3C1B">
        <w:t>;</w:t>
      </w:r>
      <w:r w:rsidR="003257D8">
        <w:rPr>
          <w:vertAlign w:val="superscript"/>
        </w:rPr>
        <w:footnoteReference w:id="36"/>
      </w:r>
      <w:r w:rsidR="003257D8">
        <w:t xml:space="preserve"> and Dominion</w:t>
      </w:r>
      <w:r w:rsidR="004926A9">
        <w:t xml:space="preserve"> Energy</w:t>
      </w:r>
      <w:r w:rsidR="003257D8">
        <w:t xml:space="preserve"> launched </w:t>
      </w:r>
      <w:r w:rsidR="007C7E44">
        <w:t>a</w:t>
      </w:r>
      <w:r w:rsidR="003257D8">
        <w:t xml:space="preserve"> </w:t>
      </w:r>
      <w:r w:rsidR="00C04BC8">
        <w:t>first-of-its kind</w:t>
      </w:r>
      <w:r w:rsidR="003257D8">
        <w:t xml:space="preserve"> VPP pilot program</w:t>
      </w:r>
      <w:r w:rsidR="004926A9">
        <w:t xml:space="preserve"> to </w:t>
      </w:r>
      <w:r w:rsidR="001109F8">
        <w:t>aggregate</w:t>
      </w:r>
      <w:r w:rsidR="004926A9">
        <w:t xml:space="preserve"> up to 450 MW of DERs</w:t>
      </w:r>
      <w:r w:rsidR="009C1F85">
        <w:t>.</w:t>
      </w:r>
      <w:r w:rsidR="004926A9">
        <w:rPr>
          <w:rStyle w:val="FootnoteReference"/>
        </w:rPr>
        <w:footnoteReference w:id="37"/>
      </w:r>
      <w:r w:rsidR="003257D8">
        <w:t xml:space="preserve"> </w:t>
      </w:r>
    </w:p>
    <w:p w14:paraId="43B8E34B" w14:textId="43BFFC30" w:rsidR="006B6FE6" w:rsidRDefault="009B6B6E" w:rsidP="00F435F1">
      <w:pPr>
        <w:spacing w:after="200"/>
        <w:jc w:val="both"/>
      </w:pPr>
      <w:r>
        <w:t>Task Force discussions highli</w:t>
      </w:r>
      <w:r w:rsidR="00CE6727">
        <w:t>ghted these</w:t>
      </w:r>
      <w:r w:rsidR="008E060E">
        <w:t xml:space="preserve"> accomplishments </w:t>
      </w:r>
      <w:r w:rsidR="00CE6727">
        <w:t>as</w:t>
      </w:r>
      <w:r w:rsidR="00AD07FA">
        <w:t xml:space="preserve"> significant </w:t>
      </w:r>
      <w:r w:rsidR="008E060E">
        <w:t xml:space="preserve">milestones </w:t>
      </w:r>
      <w:r w:rsidR="00CE6727">
        <w:t>which</w:t>
      </w:r>
      <w:r w:rsidR="008E060E">
        <w:t xml:space="preserve"> </w:t>
      </w:r>
      <w:r w:rsidR="00CE6727">
        <w:t xml:space="preserve">will </w:t>
      </w:r>
      <w:r w:rsidR="00D45FC5">
        <w:t>drive</w:t>
      </w:r>
      <w:r w:rsidR="004F1273">
        <w:t xml:space="preserve"> near- and long-term </w:t>
      </w:r>
      <w:r w:rsidR="009600E8">
        <w:t xml:space="preserve">DER </w:t>
      </w:r>
      <w:r w:rsidR="006F1A2D">
        <w:t>deployment</w:t>
      </w:r>
      <w:r w:rsidR="001B3BF4">
        <w:t xml:space="preserve"> </w:t>
      </w:r>
      <w:r w:rsidR="007B602F">
        <w:t>growth</w:t>
      </w:r>
      <w:r w:rsidR="00494862">
        <w:t>. H</w:t>
      </w:r>
      <w:r w:rsidR="008E4280">
        <w:t xml:space="preserve">owever, </w:t>
      </w:r>
      <w:r w:rsidR="00263C1E">
        <w:t xml:space="preserve">the Task Force’s authorizing legislation </w:t>
      </w:r>
      <w:r w:rsidR="000118BF">
        <w:t>point</w:t>
      </w:r>
      <w:r w:rsidR="00F30A21">
        <w:t xml:space="preserve"> to</w:t>
      </w:r>
      <w:r w:rsidR="008E4280">
        <w:t xml:space="preserve"> </w:t>
      </w:r>
      <w:r w:rsidR="009600E8">
        <w:t xml:space="preserve">the </w:t>
      </w:r>
      <w:r w:rsidR="00ED0A32">
        <w:t>need for</w:t>
      </w:r>
      <w:r w:rsidR="000118BF">
        <w:t xml:space="preserve"> a </w:t>
      </w:r>
      <w:r w:rsidR="00EF549A">
        <w:t>comprehensive</w:t>
      </w:r>
      <w:r w:rsidR="000118BF">
        <w:t xml:space="preserve"> </w:t>
      </w:r>
      <w:r w:rsidR="00AF39C5">
        <w:t>set</w:t>
      </w:r>
      <w:r w:rsidR="000118BF">
        <w:t xml:space="preserve"> of </w:t>
      </w:r>
      <w:r w:rsidR="00334E8C">
        <w:t xml:space="preserve">regulatory, </w:t>
      </w:r>
      <w:r w:rsidR="003C4460">
        <w:t xml:space="preserve">market, and technical </w:t>
      </w:r>
      <w:r w:rsidR="000118BF">
        <w:t>actions</w:t>
      </w:r>
      <w:r w:rsidR="00E33F2B">
        <w:t xml:space="preserve"> to </w:t>
      </w:r>
      <w:r w:rsidR="005C04E7">
        <w:t xml:space="preserve">ensure </w:t>
      </w:r>
      <w:r w:rsidR="00E302D8">
        <w:t>DER</w:t>
      </w:r>
      <w:r w:rsidR="00381F89">
        <w:t>s achieve their</w:t>
      </w:r>
      <w:r w:rsidR="00AC6E55">
        <w:t xml:space="preserve"> full market potential</w:t>
      </w:r>
      <w:r w:rsidR="00381F89">
        <w:t xml:space="preserve">, allowing them to maximally support </w:t>
      </w:r>
      <w:r w:rsidR="006823C8">
        <w:t>reliability</w:t>
      </w:r>
      <w:r w:rsidR="00381F89">
        <w:t>,</w:t>
      </w:r>
      <w:r w:rsidR="006823C8">
        <w:t xml:space="preserve"> cost </w:t>
      </w:r>
      <w:r w:rsidR="002B78C2">
        <w:t>efficiency</w:t>
      </w:r>
      <w:r w:rsidR="00B337B5">
        <w:t>, and decarbonization objectives</w:t>
      </w:r>
      <w:r w:rsidR="002B78C2">
        <w:t xml:space="preserve"> </w:t>
      </w:r>
      <w:r w:rsidR="006823C8">
        <w:t xml:space="preserve">as </w:t>
      </w:r>
      <w:r w:rsidR="005D5780">
        <w:t xml:space="preserve">Virginians </w:t>
      </w:r>
      <w:r w:rsidR="004A1B72">
        <w:t>face</w:t>
      </w:r>
      <w:r w:rsidR="006823C8">
        <w:t xml:space="preserve"> disruption in the </w:t>
      </w:r>
      <w:r w:rsidR="00AE2639">
        <w:t xml:space="preserve">electric </w:t>
      </w:r>
      <w:r w:rsidR="006823C8">
        <w:t>power sector</w:t>
      </w:r>
      <w:r w:rsidR="00C844DA">
        <w:t xml:space="preserve">. </w:t>
      </w:r>
    </w:p>
    <w:p w14:paraId="2F4B97FC" w14:textId="42F9295D" w:rsidR="006E2994" w:rsidRPr="00E554EE" w:rsidRDefault="006E2994" w:rsidP="00F435F1">
      <w:pPr>
        <w:spacing w:after="200"/>
        <w:jc w:val="both"/>
        <w:rPr>
          <w:b/>
          <w:bCs/>
        </w:rPr>
      </w:pPr>
      <w:r w:rsidRPr="00E554EE">
        <w:rPr>
          <w:b/>
          <w:bCs/>
        </w:rPr>
        <w:t xml:space="preserve">Federal / Wholesale Foundations </w:t>
      </w:r>
    </w:p>
    <w:p w14:paraId="7F2B1811" w14:textId="039CA31D" w:rsidR="006E2994" w:rsidRDefault="004D6B79" w:rsidP="00E554EE">
      <w:r>
        <w:t>Virginia’s DER deployment and market integration landscape is impacted by federal and</w:t>
      </w:r>
      <w:r w:rsidR="000632F1">
        <w:t xml:space="preserve"> PJM</w:t>
      </w:r>
      <w:r>
        <w:t xml:space="preserve"> wholesale processes and rules as well. </w:t>
      </w:r>
      <w:r w:rsidR="000632F1">
        <w:t>The Federal Energy Regulatory Commission (</w:t>
      </w:r>
      <w:r w:rsidR="00F64F46" w:rsidRPr="003951CB">
        <w:t>FERC</w:t>
      </w:r>
      <w:r w:rsidR="000632F1">
        <w:t xml:space="preserve">) </w:t>
      </w:r>
      <w:r w:rsidR="00F64F46" w:rsidRPr="003951CB">
        <w:t xml:space="preserve">issued Order No. 2222 in September 2020 to remove barriers to the participation of DER aggregations in the capacity, energy, and ancillary services markets operated by </w:t>
      </w:r>
      <w:r w:rsidR="00F64F46">
        <w:t>the regional system-market operators</w:t>
      </w:r>
      <w:r w:rsidR="0043722F">
        <w:t>, such as PJM</w:t>
      </w:r>
      <w:r w:rsidR="00F64F46">
        <w:t>. FERC’s</w:t>
      </w:r>
      <w:r w:rsidR="00F64F46" w:rsidRPr="003951CB">
        <w:t xml:space="preserve"> rationale </w:t>
      </w:r>
      <w:r w:rsidR="00F64F46">
        <w:t>for the order is</w:t>
      </w:r>
      <w:r w:rsidR="00F64F46" w:rsidRPr="003951CB">
        <w:t xml:space="preserve"> that aggregation allows DERs to meet </w:t>
      </w:r>
      <w:r w:rsidR="00F64F46">
        <w:t>wholesale market</w:t>
      </w:r>
      <w:r w:rsidR="00F64F46" w:rsidRPr="003951CB">
        <w:t xml:space="preserve"> minimum size and performance requirements they could not meet individually, thereby enhancing competition and market efficiency.</w:t>
      </w:r>
      <w:r w:rsidR="00F64F46">
        <w:rPr>
          <w:rStyle w:val="FootnoteReference"/>
        </w:rPr>
        <w:footnoteReference w:id="38"/>
      </w:r>
      <w:r w:rsidR="00F64F46">
        <w:t xml:space="preserve"> PJM will implement FERC Order No. 2222 fully on February 1, 2028, and will allow DER aggregations to begin registering in November 2027. However, many PJM market and operational rules will not yet be in place until after July 2027.</w:t>
      </w:r>
      <w:r w:rsidR="00F64F46">
        <w:rPr>
          <w:rStyle w:val="FootnoteReference"/>
        </w:rPr>
        <w:footnoteReference w:id="39"/>
      </w:r>
    </w:p>
    <w:p w14:paraId="79054FBD" w14:textId="77777777" w:rsidR="00263413" w:rsidRDefault="00263413" w:rsidP="00E554EE"/>
    <w:p w14:paraId="70ABF375" w14:textId="12E2F599" w:rsidR="006E2994" w:rsidRDefault="00162BDE" w:rsidP="006E05F3">
      <w:r>
        <w:t xml:space="preserve">FERC leaves several rules around DER wholesale market participation up to the states, as further explained in Section 5.3. Consequently, Virginia can establish enabling rules and regulations at the state-level to support ultimate implementation of </w:t>
      </w:r>
      <w:r w:rsidR="00263413">
        <w:t>FERC Order No. 222</w:t>
      </w:r>
      <w:r w:rsidR="006E05F3">
        <w:t xml:space="preserve">2. This aligns with the </w:t>
      </w:r>
      <w:r w:rsidR="004D6B79" w:rsidRPr="003951CB">
        <w:t>statutory requirement of the Task Force to make recommendations to harmonize the Commonwealth's interconnection and retail frameworks with PJM</w:t>
      </w:r>
      <w:r w:rsidR="004D6B79">
        <w:t>’s</w:t>
      </w:r>
      <w:r w:rsidR="004D6B79" w:rsidRPr="003951CB">
        <w:t xml:space="preserve"> FERC Order No. 2222</w:t>
      </w:r>
      <w:r w:rsidR="004D6B79">
        <w:t xml:space="preserve"> compliance plan</w:t>
      </w:r>
      <w:r w:rsidR="004D6B79" w:rsidRPr="003951CB">
        <w:t xml:space="preserve">. </w:t>
      </w:r>
      <w:r w:rsidR="006E05F3">
        <w:t xml:space="preserve">The relevant policies that Virginia will need to define </w:t>
      </w:r>
      <w:r w:rsidR="004D6B79">
        <w:t xml:space="preserve">is further discussed in Section </w:t>
      </w:r>
      <w:r w:rsidR="006E05F3">
        <w:t xml:space="preserve">5.3 </w:t>
      </w:r>
      <w:r w:rsidR="004D6B79">
        <w:t xml:space="preserve">below. </w:t>
      </w:r>
    </w:p>
    <w:p w14:paraId="436701E3" w14:textId="77777777" w:rsidR="006E05F3" w:rsidRDefault="006E05F3" w:rsidP="00C30972"/>
    <w:p w14:paraId="26FC7BB7" w14:textId="513F8E12" w:rsidR="00915809" w:rsidRPr="00915809" w:rsidRDefault="00915809" w:rsidP="00915809">
      <w:pPr>
        <w:pStyle w:val="Heading2"/>
        <w:spacing w:after="160"/>
        <w:rPr>
          <w:rFonts w:eastAsia="Georgia"/>
          <w:b/>
          <w:color w:val="1F3A5F"/>
          <w:sz w:val="23"/>
          <w:szCs w:val="23"/>
        </w:rPr>
      </w:pPr>
      <w:bookmarkStart w:id="689" w:name="_Toc239862895"/>
      <w:r>
        <w:rPr>
          <w:rFonts w:eastAsia="Georgia"/>
          <w:b/>
          <w:color w:val="1F3A5F"/>
          <w:sz w:val="23"/>
          <w:szCs w:val="23"/>
        </w:rPr>
        <w:t>4.2</w:t>
      </w:r>
      <w:r w:rsidRPr="00C92B88">
        <w:rPr>
          <w:rFonts w:eastAsia="Georgia"/>
          <w:b/>
          <w:color w:val="1F3A5F"/>
          <w:sz w:val="23"/>
          <w:szCs w:val="23"/>
        </w:rPr>
        <w:t xml:space="preserve"> </w:t>
      </w:r>
      <w:r w:rsidR="00E10975">
        <w:rPr>
          <w:rFonts w:eastAsia="Georgia"/>
          <w:b/>
          <w:color w:val="1F3A5F"/>
          <w:sz w:val="23"/>
          <w:szCs w:val="23"/>
        </w:rPr>
        <w:t xml:space="preserve">Virginia’s </w:t>
      </w:r>
      <w:r w:rsidR="00191649">
        <w:rPr>
          <w:rFonts w:eastAsia="Georgia"/>
          <w:b/>
          <w:color w:val="1F3A5F"/>
          <w:sz w:val="23"/>
          <w:szCs w:val="23"/>
        </w:rPr>
        <w:t>DER Deployment Current State</w:t>
      </w:r>
      <w:bookmarkEnd w:id="689"/>
    </w:p>
    <w:p w14:paraId="06B4C431" w14:textId="090CCD00" w:rsidR="00191649" w:rsidRPr="00E554EE" w:rsidRDefault="00A8575E" w:rsidP="00E554EE">
      <w:pPr>
        <w:spacing w:after="200"/>
        <w:jc w:val="both"/>
        <w:rPr>
          <w:lang w:val="en-CA"/>
        </w:rPr>
      </w:pPr>
      <w:r>
        <w:t>T</w:t>
      </w:r>
      <w:r w:rsidR="00C41884">
        <w:t>he Commonwealth’s</w:t>
      </w:r>
      <w:r w:rsidR="00C41884" w:rsidRPr="00CA5126">
        <w:t xml:space="preserve"> electricity demand is </w:t>
      </w:r>
      <w:r w:rsidR="00C41884">
        <w:t>growing</w:t>
      </w:r>
      <w:r w:rsidR="00C41884" w:rsidRPr="00CA5126">
        <w:t xml:space="preserve"> </w:t>
      </w:r>
      <w:r w:rsidR="00C41884">
        <w:t>rapidly</w:t>
      </w:r>
      <w:r w:rsidR="00C41884" w:rsidRPr="00CA5126">
        <w:t xml:space="preserve">, driven </w:t>
      </w:r>
      <w:r w:rsidR="00601A03">
        <w:t xml:space="preserve">primarily by data center development as well as other commercial development and </w:t>
      </w:r>
      <w:r w:rsidR="00C41884">
        <w:t>electrification in the buildings and transportation sectors</w:t>
      </w:r>
      <w:r w:rsidR="00C41884" w:rsidRPr="00CA5126">
        <w:t>.</w:t>
      </w:r>
      <w:r w:rsidR="00C41884" w:rsidRPr="00536D18">
        <w:rPr>
          <w:rStyle w:val="FootnoteReference"/>
        </w:rPr>
        <w:footnoteReference w:id="40"/>
      </w:r>
      <w:r w:rsidR="00C41884" w:rsidRPr="00536D18">
        <w:rPr>
          <w:rStyle w:val="FootnoteReference"/>
        </w:rPr>
        <w:t xml:space="preserve"> </w:t>
      </w:r>
      <w:r w:rsidR="00C41884" w:rsidRPr="00CA5126">
        <w:t xml:space="preserve"> </w:t>
      </w:r>
      <w:r w:rsidR="003920B9">
        <w:t>C</w:t>
      </w:r>
      <w:r w:rsidR="00C41884" w:rsidRPr="00CA5126">
        <w:t>ommercial electricity sales rose by nearly 30 million megawatt-hours between 2019 and 2025</w:t>
      </w:r>
      <w:r w:rsidR="001A23F0">
        <w:t>,</w:t>
      </w:r>
      <w:r w:rsidR="00C41884" w:rsidRPr="00CA5126">
        <w:t xml:space="preserve"> a faster increase than in every state except Texas.</w:t>
      </w:r>
      <w:r w:rsidR="00C41884" w:rsidRPr="00536D18">
        <w:rPr>
          <w:rStyle w:val="FootnoteReference"/>
        </w:rPr>
        <w:t xml:space="preserve"> </w:t>
      </w:r>
      <w:r w:rsidR="00C41884" w:rsidRPr="00CA5126">
        <w:t xml:space="preserve">PJM Interconnection, the regional </w:t>
      </w:r>
      <w:r w:rsidR="00C41884">
        <w:t>system-market</w:t>
      </w:r>
      <w:r w:rsidR="00C41884" w:rsidRPr="00CA5126">
        <w:t xml:space="preserve"> operator serving Virginia</w:t>
      </w:r>
      <w:r w:rsidR="00D95201">
        <w:t xml:space="preserve"> </w:t>
      </w:r>
      <w:r w:rsidR="005F5E83">
        <w:t>and</w:t>
      </w:r>
      <w:r w:rsidR="00D95201">
        <w:t xml:space="preserve"> neighboring states</w:t>
      </w:r>
      <w:r w:rsidR="00C41884" w:rsidRPr="00CA5126">
        <w:t xml:space="preserve">, forecasts that </w:t>
      </w:r>
      <w:r w:rsidR="00C41884">
        <w:t>the</w:t>
      </w:r>
      <w:r w:rsidR="00C41884" w:rsidRPr="00CA5126">
        <w:t xml:space="preserve"> Dominion</w:t>
      </w:r>
      <w:r w:rsidR="00C41884">
        <w:t xml:space="preserve"> load</w:t>
      </w:r>
      <w:r w:rsidR="00C41884" w:rsidRPr="00CA5126">
        <w:t xml:space="preserve"> zone</w:t>
      </w:r>
      <w:r w:rsidR="00C41884" w:rsidRPr="002117E5">
        <w:rPr>
          <w:rStyle w:val="FootnoteReference"/>
        </w:rPr>
        <w:footnoteReference w:customMarkFollows="1" w:id="41"/>
        <w:t>*</w:t>
      </w:r>
      <w:r w:rsidR="00C41884" w:rsidRPr="00CA5126">
        <w:t xml:space="preserve"> will see the largest absolute increase in summer peak demand of any zone in its 13-state footprint between 2026 and 2030, with peak summer load in that zone projected to grow by an average of 5.4 percent per year over the next decade.</w:t>
      </w:r>
      <w:r w:rsidR="00C41884" w:rsidRPr="001C01D7">
        <w:rPr>
          <w:vertAlign w:val="superscript"/>
        </w:rPr>
        <w:footnoteReference w:id="42"/>
      </w:r>
      <w:r w:rsidR="00C41884" w:rsidRPr="00CA5126">
        <w:t xml:space="preserve"> </w:t>
      </w:r>
      <w:r w:rsidR="00B0099F">
        <w:t xml:space="preserve">Given this growth, Dominion’s </w:t>
      </w:r>
      <w:r w:rsidR="00B0099F" w:rsidRPr="00CD2C6C">
        <w:t xml:space="preserve">2025 </w:t>
      </w:r>
      <w:r w:rsidR="00C40916">
        <w:t>update to its 2024</w:t>
      </w:r>
      <w:r w:rsidR="00B0099F" w:rsidRPr="00CD2C6C">
        <w:t xml:space="preserve"> Integrated Resource Plan forecasts a 2.6 GW capacity shortfall by 2031 absent new generation.</w:t>
      </w:r>
      <w:r w:rsidR="00B0099F">
        <w:rPr>
          <w:rStyle w:val="FootnoteReference"/>
        </w:rPr>
        <w:footnoteReference w:id="43"/>
      </w:r>
      <w:r w:rsidR="00640E91">
        <w:t xml:space="preserve"> </w:t>
      </w:r>
      <w:r w:rsidR="00640E91">
        <w:rPr>
          <w:lang w:val="en-CA"/>
        </w:rPr>
        <w:t>These conditions present cost and infrastructure challenges that, as discussed in Section 3, DERs and VPPs can help mitigate if their deployment is scaled.</w:t>
      </w:r>
    </w:p>
    <w:p w14:paraId="0503D08C" w14:textId="77777777" w:rsidR="00191649" w:rsidRDefault="00191649" w:rsidP="00F435F1">
      <w:pPr>
        <w:spacing w:after="200"/>
        <w:jc w:val="both"/>
      </w:pPr>
    </w:p>
    <w:p w14:paraId="0BBA7A78" w14:textId="77777777" w:rsidR="00C32B6B" w:rsidRDefault="00C32B6B" w:rsidP="00F435F1">
      <w:pPr>
        <w:spacing w:after="200"/>
        <w:jc w:val="both"/>
      </w:pPr>
    </w:p>
    <w:p w14:paraId="5B34AADC" w14:textId="77777777" w:rsidR="00C32B6B" w:rsidRDefault="00C32B6B" w:rsidP="00F435F1">
      <w:pPr>
        <w:spacing w:after="200"/>
        <w:jc w:val="both"/>
      </w:pPr>
    </w:p>
    <w:p w14:paraId="33D3E0A5" w14:textId="70C9B060" w:rsidR="008C76EC" w:rsidRDefault="008D273F" w:rsidP="00BF61BE">
      <w:pPr>
        <w:pStyle w:val="Heading2"/>
        <w:spacing w:after="160"/>
        <w:jc w:val="center"/>
        <w:rPr>
          <w:b/>
          <w:i/>
          <w:color w:val="000000" w:themeColor="text1"/>
          <w:sz w:val="22"/>
          <w:szCs w:val="22"/>
        </w:rPr>
      </w:pPr>
      <w:bookmarkStart w:id="690" w:name="_Toc239862896"/>
      <w:r w:rsidRPr="008D273F">
        <w:rPr>
          <w:i/>
          <w:color w:val="595959" w:themeColor="text1" w:themeTint="A6"/>
          <w:sz w:val="20"/>
          <w:szCs w:val="20"/>
        </w:rPr>
        <w:drawing>
          <wp:anchor distT="0" distB="0" distL="114300" distR="114300" simplePos="0" relativeHeight="251658241" behindDoc="0" locked="0" layoutInCell="1" allowOverlap="1" wp14:anchorId="1E1A3355" wp14:editId="1E8A51C0">
            <wp:simplePos x="0" y="0"/>
            <wp:positionH relativeFrom="column">
              <wp:posOffset>17145</wp:posOffset>
            </wp:positionH>
            <wp:positionV relativeFrom="paragraph">
              <wp:posOffset>295763</wp:posOffset>
            </wp:positionV>
            <wp:extent cx="6026785" cy="3392805"/>
            <wp:effectExtent l="0" t="0" r="12065" b="17145"/>
            <wp:wrapTopAndBottom/>
            <wp:docPr id="685552634" name="Chart 1">
              <a:extLst xmlns:a="http://schemas.openxmlformats.org/drawingml/2006/main">
                <a:ext uri="{FF2B5EF4-FFF2-40B4-BE49-F238E27FC236}">
                  <a16:creationId xmlns:a16="http://schemas.microsoft.com/office/drawing/2014/main" id="{B3AD1D16-ED6D-7832-5CA6-6700230CB6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anchor>
        </w:drawing>
      </w:r>
      <w:commentRangeStart w:id="691"/>
      <w:commentRangeStart w:id="692"/>
      <w:r w:rsidR="008C76EC" w:rsidRPr="00353F57">
        <w:rPr>
          <w:b/>
          <w:i/>
          <w:color w:val="000000" w:themeColor="text1"/>
          <w:sz w:val="22"/>
          <w:szCs w:val="22"/>
        </w:rPr>
        <w:t>Virginia’s Historical DER Deployment</w:t>
      </w:r>
      <w:r w:rsidR="008C51E3">
        <w:rPr>
          <w:rStyle w:val="FootnoteReference"/>
          <w:b/>
          <w:i/>
          <w:color w:val="000000" w:themeColor="text1"/>
          <w:sz w:val="22"/>
          <w:szCs w:val="22"/>
        </w:rPr>
        <w:footnoteReference w:customMarkFollows="1" w:id="44"/>
        <w:t>*</w:t>
      </w:r>
      <w:bookmarkEnd w:id="690"/>
      <w:commentRangeEnd w:id="691"/>
      <w:r w:rsidR="00BE3BE5">
        <w:rPr>
          <w:rStyle w:val="CommentReference"/>
          <w:b/>
          <w:i/>
          <w:color w:val="000000" w:themeColor="text1"/>
          <w:sz w:val="22"/>
          <w:szCs w:val="22"/>
        </w:rPr>
        <w:commentReference w:id="691"/>
      </w:r>
      <w:commentRangeEnd w:id="692"/>
      <w:r w:rsidR="002D0A60">
        <w:rPr>
          <w:rStyle w:val="CommentReference"/>
          <w:b/>
          <w:i/>
          <w:color w:val="000000" w:themeColor="text1"/>
          <w:sz w:val="22"/>
          <w:szCs w:val="22"/>
        </w:rPr>
        <w:commentReference w:id="692"/>
      </w:r>
    </w:p>
    <w:p w14:paraId="4D5CB2BE" w14:textId="381DA711" w:rsidR="008C76EC" w:rsidRPr="008C76EC" w:rsidRDefault="008C76EC" w:rsidP="008C76EC">
      <w:pPr>
        <w:spacing w:after="240"/>
        <w:jc w:val="center"/>
      </w:pPr>
      <w:r w:rsidRPr="7F9829BB">
        <w:rPr>
          <w:i/>
          <w:color w:val="595959" w:themeColor="text1" w:themeTint="A6"/>
          <w:sz w:val="20"/>
          <w:szCs w:val="20"/>
        </w:rPr>
        <w:t xml:space="preserve">Figure </w:t>
      </w:r>
      <w:r w:rsidR="00FE29DE">
        <w:rPr>
          <w:i/>
          <w:color w:val="595959" w:themeColor="text1" w:themeTint="A6"/>
          <w:sz w:val="20"/>
          <w:szCs w:val="20"/>
        </w:rPr>
        <w:t>3</w:t>
      </w:r>
      <w:r w:rsidR="007B1E42" w:rsidRPr="7F9829BB">
        <w:rPr>
          <w:i/>
          <w:color w:val="595959" w:themeColor="text1" w:themeTint="A6"/>
          <w:sz w:val="20"/>
          <w:szCs w:val="20"/>
        </w:rPr>
        <w:t xml:space="preserve">: </w:t>
      </w:r>
      <w:r w:rsidRPr="7F9829BB">
        <w:rPr>
          <w:i/>
          <w:color w:val="595959" w:themeColor="text1" w:themeTint="A6"/>
          <w:sz w:val="20"/>
          <w:szCs w:val="20"/>
        </w:rPr>
        <w:t xml:space="preserve">Virginia’s DER deployment </w:t>
      </w:r>
      <w:r w:rsidR="009A1377">
        <w:rPr>
          <w:i/>
          <w:color w:val="595959" w:themeColor="text1" w:themeTint="A6"/>
          <w:sz w:val="20"/>
          <w:szCs w:val="20"/>
        </w:rPr>
        <w:t>(</w:t>
      </w:r>
      <w:r w:rsidR="00DF7245" w:rsidRPr="7F9829BB">
        <w:rPr>
          <w:i/>
          <w:color w:val="595959" w:themeColor="text1" w:themeTint="A6"/>
          <w:sz w:val="20"/>
          <w:szCs w:val="20"/>
        </w:rPr>
        <w:t>MW</w:t>
      </w:r>
      <w:r w:rsidR="009A1377">
        <w:rPr>
          <w:i/>
          <w:color w:val="595959" w:themeColor="text1" w:themeTint="A6"/>
          <w:sz w:val="20"/>
          <w:szCs w:val="20"/>
        </w:rPr>
        <w:t>)</w:t>
      </w:r>
      <w:r w:rsidR="00DF7245" w:rsidRPr="7F9829BB">
        <w:rPr>
          <w:i/>
          <w:color w:val="595959" w:themeColor="text1" w:themeTint="A6"/>
          <w:sz w:val="20"/>
          <w:szCs w:val="20"/>
        </w:rPr>
        <w:t xml:space="preserve"> </w:t>
      </w:r>
      <w:r w:rsidR="00342E2E">
        <w:rPr>
          <w:i/>
          <w:color w:val="595959" w:themeColor="text1" w:themeTint="A6"/>
          <w:sz w:val="20"/>
          <w:szCs w:val="20"/>
        </w:rPr>
        <w:t>between</w:t>
      </w:r>
      <w:r w:rsidR="00DF7245" w:rsidRPr="7F9829BB">
        <w:rPr>
          <w:i/>
          <w:color w:val="595959" w:themeColor="text1" w:themeTint="A6"/>
          <w:sz w:val="20"/>
          <w:szCs w:val="20"/>
        </w:rPr>
        <w:t xml:space="preserve"> 2016-2024</w:t>
      </w:r>
      <w:r w:rsidRPr="7F9829BB">
        <w:rPr>
          <w:i/>
          <w:color w:val="595959" w:themeColor="text1" w:themeTint="A6"/>
          <w:sz w:val="20"/>
          <w:szCs w:val="20"/>
        </w:rPr>
        <w:t xml:space="preserve">. </w:t>
      </w:r>
    </w:p>
    <w:p w14:paraId="37C864D1" w14:textId="36739249" w:rsidR="00873766" w:rsidRDefault="00DA5308" w:rsidP="00C44B30">
      <w:pPr>
        <w:spacing w:after="200"/>
        <w:jc w:val="both"/>
        <w:rPr>
          <w:lang w:val="en-CA"/>
        </w:rPr>
      </w:pPr>
      <w:r>
        <w:rPr>
          <w:lang w:val="en-CA"/>
        </w:rPr>
        <w:t xml:space="preserve">The Commonwealth </w:t>
      </w:r>
      <w:r w:rsidR="004D5CD3">
        <w:rPr>
          <w:lang w:val="en-CA"/>
        </w:rPr>
        <w:t xml:space="preserve">has </w:t>
      </w:r>
      <w:r w:rsidR="00191649">
        <w:rPr>
          <w:lang w:val="en-CA"/>
        </w:rPr>
        <w:t xml:space="preserve">seen rapid growth in </w:t>
      </w:r>
      <w:r w:rsidR="00D15547">
        <w:rPr>
          <w:lang w:val="en-CA"/>
        </w:rPr>
        <w:t>DER deployment over the last ten years.</w:t>
      </w:r>
      <w:r w:rsidR="004D5CD3">
        <w:rPr>
          <w:lang w:val="en-CA"/>
        </w:rPr>
        <w:t xml:space="preserve"> </w:t>
      </w:r>
      <w:r w:rsidR="00ED660D" w:rsidRPr="00F81CB4">
        <w:rPr>
          <w:lang w:val="en-CA"/>
        </w:rPr>
        <w:t xml:space="preserve">As depicted in Figure </w:t>
      </w:r>
      <w:r w:rsidR="00025142">
        <w:rPr>
          <w:lang w:val="en-CA"/>
        </w:rPr>
        <w:t>3</w:t>
      </w:r>
      <w:r w:rsidR="00ED660D" w:rsidRPr="00F81CB4">
        <w:rPr>
          <w:lang w:val="en-CA"/>
        </w:rPr>
        <w:t xml:space="preserve">, Between 2016 and 2024, the combined capacity of DERs grew approximately 25-fold to about 858 MW, of which BTM solar and battery storage systems (&lt;5 MW), contributed 798 MW and other DERs 60 MW. By 2024, Virginia had approximately 768 MW of distributed solar (94% customer owned, 6% </w:t>
      </w:r>
      <w:r w:rsidR="009D5241">
        <w:rPr>
          <w:lang w:val="en-CA"/>
        </w:rPr>
        <w:t>shared</w:t>
      </w:r>
      <w:r w:rsidR="009D5241" w:rsidRPr="00641855">
        <w:rPr>
          <w:lang w:val="en-CA"/>
        </w:rPr>
        <w:t xml:space="preserve"> </w:t>
      </w:r>
      <w:r w:rsidR="00ED660D" w:rsidRPr="00F81CB4">
        <w:rPr>
          <w:lang w:val="en-CA"/>
        </w:rPr>
        <w:t xml:space="preserve">solar) and 76 MW of battery storage capacity. This represents a </w:t>
      </w:r>
      <w:r w:rsidR="00ED660D" w:rsidRPr="0097765D">
        <w:rPr>
          <w:b/>
          <w:lang w:val="en-CA"/>
        </w:rPr>
        <w:t>compound annual growth rate (CAGR) of 48.5%</w:t>
      </w:r>
      <w:r w:rsidR="00107687">
        <w:rPr>
          <w:b/>
          <w:lang w:val="en-CA"/>
        </w:rPr>
        <w:t xml:space="preserve"> since 2016</w:t>
      </w:r>
      <w:r w:rsidR="00ED660D" w:rsidRPr="00F81CB4">
        <w:rPr>
          <w:lang w:val="en-CA"/>
        </w:rPr>
        <w:t xml:space="preserve">. </w:t>
      </w:r>
    </w:p>
    <w:p w14:paraId="3C829302" w14:textId="26E1340F" w:rsidR="00C44B30" w:rsidRPr="00F81CB4" w:rsidRDefault="009D5241" w:rsidP="00C44B30">
      <w:pPr>
        <w:spacing w:after="200"/>
        <w:jc w:val="both"/>
        <w:rPr>
          <w:highlight w:val="yellow"/>
          <w:lang w:val="en-CA"/>
        </w:rPr>
      </w:pPr>
      <w:r>
        <w:rPr>
          <w:lang w:val="en-CA"/>
        </w:rPr>
        <w:t>Shared</w:t>
      </w:r>
      <w:r w:rsidR="00ED660D" w:rsidRPr="00F81CB4">
        <w:rPr>
          <w:lang w:val="en-CA"/>
        </w:rPr>
        <w:t xml:space="preserve"> solar represents a small share of existing distributed solar, </w:t>
      </w:r>
      <w:r w:rsidR="000D6813">
        <w:rPr>
          <w:lang w:val="en-CA"/>
        </w:rPr>
        <w:t xml:space="preserve"> </w:t>
      </w:r>
      <w:r w:rsidR="00ED660D" w:rsidRPr="00F81CB4">
        <w:rPr>
          <w:lang w:val="en-CA"/>
        </w:rPr>
        <w:t>but is set to grow as a result of the legislative updates authorizing an expansion of the Virginia’s Shared Solar Program.</w:t>
      </w:r>
      <w:r w:rsidR="00ED660D" w:rsidRPr="00F81CB4">
        <w:rPr>
          <w:rStyle w:val="FootnoteReference"/>
          <w:lang w:val="en-CA"/>
        </w:rPr>
        <w:footnoteReference w:id="45"/>
      </w:r>
      <w:r w:rsidR="00ED660D" w:rsidRPr="00F81CB4">
        <w:rPr>
          <w:lang w:val="en-CA"/>
        </w:rPr>
        <w:t xml:space="preserve"> As of 2026, 745 MW of shared solar programs have been allocated, representing nearly 100 shared solar projects, ranging in size from 1-5 MW.</w:t>
      </w:r>
      <w:r w:rsidR="00ED660D" w:rsidRPr="00F81CB4">
        <w:rPr>
          <w:rStyle w:val="FootnoteReference"/>
          <w:lang w:val="en-CA"/>
        </w:rPr>
        <w:footnoteReference w:id="46"/>
      </w:r>
      <w:r w:rsidR="00ED660D" w:rsidRPr="00F81CB4">
        <w:rPr>
          <w:lang w:val="en-CA"/>
        </w:rPr>
        <w:t xml:space="preserve"> </w:t>
      </w:r>
      <w:r w:rsidR="00D43654">
        <w:rPr>
          <w:lang w:val="en-CA"/>
        </w:rPr>
        <w:t xml:space="preserve">While </w:t>
      </w:r>
      <w:r w:rsidR="00B8077D">
        <w:rPr>
          <w:lang w:val="en-CA"/>
        </w:rPr>
        <w:t>total</w:t>
      </w:r>
      <w:r w:rsidR="00D43654">
        <w:rPr>
          <w:lang w:val="en-CA"/>
        </w:rPr>
        <w:t xml:space="preserve"> </w:t>
      </w:r>
      <w:r w:rsidR="00EA052C">
        <w:rPr>
          <w:lang w:val="en-CA"/>
        </w:rPr>
        <w:t xml:space="preserve">mobile storage </w:t>
      </w:r>
      <w:r w:rsidR="0052329A">
        <w:rPr>
          <w:lang w:val="en-CA"/>
        </w:rPr>
        <w:t xml:space="preserve">capacity is not included in </w:t>
      </w:r>
      <w:r w:rsidR="0037492D">
        <w:rPr>
          <w:lang w:val="en-CA"/>
        </w:rPr>
        <w:t>F</w:t>
      </w:r>
      <w:r w:rsidR="0052329A">
        <w:rPr>
          <w:lang w:val="en-CA"/>
        </w:rPr>
        <w:t xml:space="preserve">igure </w:t>
      </w:r>
      <w:r w:rsidR="00025142">
        <w:rPr>
          <w:lang w:val="en-CA"/>
        </w:rPr>
        <w:t>3</w:t>
      </w:r>
      <w:r w:rsidR="0052329A">
        <w:rPr>
          <w:lang w:val="en-CA"/>
        </w:rPr>
        <w:t xml:space="preserve"> due to limited data,</w:t>
      </w:r>
      <w:r w:rsidR="00BB2C3E">
        <w:rPr>
          <w:lang w:val="en-CA"/>
        </w:rPr>
        <w:t xml:space="preserve"> </w:t>
      </w:r>
      <w:r w:rsidR="00EA052C">
        <w:rPr>
          <w:lang w:val="en-CA"/>
        </w:rPr>
        <w:t xml:space="preserve">the Commonwealth has significant existing technical potential for </w:t>
      </w:r>
      <w:r w:rsidR="00C24E9D">
        <w:rPr>
          <w:lang w:val="en-CA"/>
        </w:rPr>
        <w:t>managed</w:t>
      </w:r>
      <w:r w:rsidR="00B637AE">
        <w:rPr>
          <w:lang w:val="en-CA"/>
        </w:rPr>
        <w:t xml:space="preserve"> charging</w:t>
      </w:r>
      <w:r w:rsidR="00C24E9D">
        <w:rPr>
          <w:lang w:val="en-CA"/>
        </w:rPr>
        <w:t xml:space="preserve"> and</w:t>
      </w:r>
      <w:r w:rsidR="00EA052C">
        <w:rPr>
          <w:lang w:val="en-CA"/>
        </w:rPr>
        <w:t xml:space="preserve"> </w:t>
      </w:r>
      <w:r w:rsidR="00A13949">
        <w:rPr>
          <w:lang w:val="en-CA"/>
        </w:rPr>
        <w:t>vehicle-to-grid (V2G)</w:t>
      </w:r>
      <w:r w:rsidR="00B637AE">
        <w:rPr>
          <w:lang w:val="en-CA"/>
        </w:rPr>
        <w:t xml:space="preserve"> </w:t>
      </w:r>
      <w:r w:rsidR="00C24E9D">
        <w:rPr>
          <w:lang w:val="en-CA"/>
        </w:rPr>
        <w:t>services</w:t>
      </w:r>
      <w:r w:rsidR="00C51EA2">
        <w:rPr>
          <w:lang w:val="en-CA"/>
        </w:rPr>
        <w:t>; a</w:t>
      </w:r>
      <w:r w:rsidR="00C44B30" w:rsidRPr="00F81CB4">
        <w:rPr>
          <w:lang w:val="en-CA"/>
        </w:rPr>
        <w:t>ccording</w:t>
      </w:r>
      <w:r w:rsidR="00C44B30">
        <w:rPr>
          <w:lang w:val="en-CA"/>
        </w:rPr>
        <w:t xml:space="preserve"> to the Virginia DMV, there </w:t>
      </w:r>
      <w:r w:rsidR="0036550F">
        <w:t xml:space="preserve">were </w:t>
      </w:r>
      <w:r w:rsidR="00C44B30">
        <w:t xml:space="preserve">over </w:t>
      </w:r>
      <w:r w:rsidR="007C13F6" w:rsidRPr="0036550F">
        <w:t>1</w:t>
      </w:r>
      <w:r w:rsidR="00DA5D84" w:rsidRPr="00CE2521">
        <w:t>4</w:t>
      </w:r>
      <w:r w:rsidR="007C13F6" w:rsidRPr="00CE2521">
        <w:t>0</w:t>
      </w:r>
      <w:r w:rsidR="00C44B30" w:rsidRPr="0036550F">
        <w:t>,000</w:t>
      </w:r>
      <w:r w:rsidR="00C44B30" w:rsidRPr="00A00F76">
        <w:t xml:space="preserve"> </w:t>
      </w:r>
      <w:r w:rsidR="00C30A4F">
        <w:t xml:space="preserve">PHEVs and </w:t>
      </w:r>
      <w:r w:rsidR="00C44B30" w:rsidRPr="00981286">
        <w:t>EVs</w:t>
      </w:r>
      <w:r w:rsidR="00C44B30">
        <w:t xml:space="preserve"> registered in the Commonwealth as of 2025, </w:t>
      </w:r>
      <w:r w:rsidR="000B719E">
        <w:t xml:space="preserve">growing from under </w:t>
      </w:r>
      <w:r w:rsidR="000845DD">
        <w:t>8</w:t>
      </w:r>
      <w:r w:rsidR="000B719E">
        <w:t xml:space="preserve">,000 in 2017 </w:t>
      </w:r>
      <w:r w:rsidR="007C13F6">
        <w:t xml:space="preserve">– </w:t>
      </w:r>
      <w:r w:rsidR="000B719E">
        <w:t xml:space="preserve">a </w:t>
      </w:r>
      <w:r w:rsidR="00647E5E">
        <w:t>combined</w:t>
      </w:r>
      <w:r w:rsidR="001F03AD">
        <w:t xml:space="preserve"> annual growth rate </w:t>
      </w:r>
      <w:r w:rsidR="000F24FE">
        <w:t xml:space="preserve">of </w:t>
      </w:r>
      <w:r w:rsidR="000845DD">
        <w:t>approximately</w:t>
      </w:r>
      <w:r w:rsidR="00182320">
        <w:t xml:space="preserve"> </w:t>
      </w:r>
      <w:r w:rsidR="000845DD">
        <w:t>39</w:t>
      </w:r>
      <w:r w:rsidR="000F24FE">
        <w:t>%</w:t>
      </w:r>
      <w:r w:rsidR="00C44B30">
        <w:t>.</w:t>
      </w:r>
      <w:r w:rsidR="00C44B30">
        <w:rPr>
          <w:rStyle w:val="FootnoteReference"/>
        </w:rPr>
        <w:footnoteReference w:id="47"/>
      </w:r>
      <w:r w:rsidR="00C44B30">
        <w:t xml:space="preserve"> </w:t>
      </w:r>
    </w:p>
    <w:p w14:paraId="6729AA6C" w14:textId="11268517" w:rsidR="00BA5F7F" w:rsidRDefault="006E4CB8" w:rsidP="006E4CB8">
      <w:pPr>
        <w:spacing w:after="200"/>
        <w:jc w:val="both"/>
      </w:pPr>
      <w:r>
        <w:t xml:space="preserve">Despite </w:t>
      </w:r>
      <w:r w:rsidR="00F5612D">
        <w:t>a decade of</w:t>
      </w:r>
      <w:r>
        <w:t xml:space="preserve"> </w:t>
      </w:r>
      <w:r w:rsidR="006C628B">
        <w:t xml:space="preserve">distributed </w:t>
      </w:r>
      <w:r w:rsidR="003A166C">
        <w:t>solar</w:t>
      </w:r>
      <w:r>
        <w:t xml:space="preserve"> </w:t>
      </w:r>
      <w:r w:rsidR="00F5612D">
        <w:t>growth</w:t>
      </w:r>
      <w:r>
        <w:t xml:space="preserve">, Virginia </w:t>
      </w:r>
      <w:r w:rsidR="00422248">
        <w:t xml:space="preserve">has seen slower </w:t>
      </w:r>
      <w:r w:rsidR="00C836C1">
        <w:t>adoption</w:t>
      </w:r>
      <w:r w:rsidR="00422248">
        <w:t xml:space="preserve"> </w:t>
      </w:r>
      <w:r w:rsidR="00D41AB0">
        <w:t xml:space="preserve">of DERs </w:t>
      </w:r>
      <w:r w:rsidR="00422248">
        <w:t>compared with</w:t>
      </w:r>
      <w:r>
        <w:t xml:space="preserve"> </w:t>
      </w:r>
      <w:r w:rsidR="007C6A68">
        <w:t>similarly sized</w:t>
      </w:r>
      <w:r w:rsidR="004771C4">
        <w:t xml:space="preserve"> </w:t>
      </w:r>
      <w:r w:rsidR="009551E3">
        <w:t>states,</w:t>
      </w:r>
      <w:r>
        <w:t xml:space="preserve"> and 2024 </w:t>
      </w:r>
      <w:r w:rsidR="00CF11D6">
        <w:t>experienced</w:t>
      </w:r>
      <w:r w:rsidR="00A9337A">
        <w:t xml:space="preserve"> slower growth rates than previous years, as shown in Figure </w:t>
      </w:r>
      <w:r w:rsidR="00025142">
        <w:t>3</w:t>
      </w:r>
      <w:r>
        <w:t xml:space="preserve"> (note: 2025 is not represented in the chart yet due to data availability)</w:t>
      </w:r>
      <w:r w:rsidR="00672428">
        <w:t>.</w:t>
      </w:r>
      <w:r w:rsidR="007D3BAA">
        <w:t xml:space="preserve"> </w:t>
      </w:r>
      <w:r w:rsidR="00D27C39">
        <w:t xml:space="preserve">Figure </w:t>
      </w:r>
      <w:r w:rsidR="00025142">
        <w:t>4</w:t>
      </w:r>
      <w:r w:rsidR="00D27C39">
        <w:t xml:space="preserve"> below, which compares</w:t>
      </w:r>
      <w:r w:rsidR="00D87EE3">
        <w:t xml:space="preserve"> net metered solar capacity from the most recent EIA data, </w:t>
      </w:r>
      <w:r w:rsidR="0058517C">
        <w:t>illustrates</w:t>
      </w:r>
      <w:r w:rsidR="009557B0">
        <w:t xml:space="preserve"> </w:t>
      </w:r>
      <w:r w:rsidR="0058517C">
        <w:t xml:space="preserve">this discrepancy, </w:t>
      </w:r>
      <w:r w:rsidR="0008471E">
        <w:t>underscoring</w:t>
      </w:r>
      <w:r w:rsidR="008A6F8B">
        <w:t xml:space="preserve"> the need </w:t>
      </w:r>
      <w:r w:rsidR="00480457">
        <w:t>for the</w:t>
      </w:r>
      <w:r w:rsidR="008A6F8B">
        <w:t xml:space="preserve"> DER adoption </w:t>
      </w:r>
      <w:r w:rsidR="00480457">
        <w:t>strategies outlined in Section 6</w:t>
      </w:r>
      <w:r w:rsidR="00BC6ECA">
        <w:t xml:space="preserve"> for Virginia to see greater DER adoption at a greater scale</w:t>
      </w:r>
      <w:r w:rsidR="00DD1A88">
        <w:t xml:space="preserve">. </w:t>
      </w:r>
    </w:p>
    <w:p w14:paraId="72925643" w14:textId="7C9ABA34" w:rsidR="0003568A" w:rsidRPr="00CE2521" w:rsidRDefault="0003568A" w:rsidP="00CE2521">
      <w:pPr>
        <w:pStyle w:val="Heading2"/>
        <w:spacing w:after="160"/>
        <w:jc w:val="center"/>
        <w:rPr>
          <w:b/>
          <w:i/>
          <w:color w:val="000000" w:themeColor="text1"/>
        </w:rPr>
      </w:pPr>
      <w:bookmarkStart w:id="693" w:name="_Toc239862897"/>
      <w:r>
        <w:rPr>
          <w:b/>
          <w:i/>
          <w:color w:val="000000" w:themeColor="text1"/>
          <w:sz w:val="22"/>
          <w:szCs w:val="22"/>
        </w:rPr>
        <w:t>How Virginia Stacks Up Against Peers</w:t>
      </w:r>
      <w:bookmarkEnd w:id="693"/>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8"/>
        <w:gridCol w:w="1548"/>
        <w:gridCol w:w="1548"/>
        <w:gridCol w:w="1549"/>
        <w:gridCol w:w="1548"/>
        <w:gridCol w:w="1549"/>
      </w:tblGrid>
      <w:tr w:rsidR="00686669" w14:paraId="12A72C36" w14:textId="5B9EB390" w:rsidTr="006B2525">
        <w:trPr>
          <w:trHeight w:val="215"/>
        </w:trPr>
        <w:tc>
          <w:tcPr>
            <w:tcW w:w="1618" w:type="dxa"/>
            <w:tcBorders>
              <w:bottom w:val="single" w:sz="4" w:space="0" w:color="auto"/>
              <w:right w:val="single" w:sz="4" w:space="0" w:color="auto"/>
            </w:tcBorders>
            <w:vAlign w:val="center"/>
          </w:tcPr>
          <w:p w14:paraId="6E0D0692" w14:textId="77777777" w:rsidR="00686669" w:rsidRPr="00330F91" w:rsidRDefault="00686669" w:rsidP="00555C41">
            <w:pPr>
              <w:spacing w:after="200"/>
              <w:rPr>
                <w:sz w:val="18"/>
                <w:szCs w:val="18"/>
              </w:rPr>
            </w:pPr>
          </w:p>
        </w:tc>
        <w:tc>
          <w:tcPr>
            <w:tcW w:w="15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C2074E" w14:textId="45F4FD0C" w:rsidR="00686669" w:rsidRPr="00330F91" w:rsidRDefault="00BA4E1C" w:rsidP="00456844">
            <w:pPr>
              <w:jc w:val="center"/>
              <w:rPr>
                <w:b/>
                <w:sz w:val="18"/>
                <w:szCs w:val="18"/>
              </w:rPr>
            </w:pPr>
            <w:r w:rsidRPr="00330F91">
              <w:rPr>
                <w:b/>
                <w:sz w:val="18"/>
                <w:szCs w:val="18"/>
              </w:rPr>
              <w:t>Virginia</w:t>
            </w:r>
          </w:p>
        </w:tc>
        <w:tc>
          <w:tcPr>
            <w:tcW w:w="15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9EDCFB" w14:textId="199F5801" w:rsidR="00686669" w:rsidRPr="00330F91" w:rsidRDefault="00456844" w:rsidP="00456844">
            <w:pPr>
              <w:jc w:val="center"/>
              <w:rPr>
                <w:b/>
                <w:sz w:val="18"/>
                <w:szCs w:val="18"/>
              </w:rPr>
            </w:pPr>
            <w:r w:rsidRPr="00330F91">
              <w:rPr>
                <w:b/>
                <w:bCs/>
                <w:sz w:val="18"/>
                <w:szCs w:val="18"/>
              </w:rPr>
              <w:t>Massachusetts</w:t>
            </w:r>
          </w:p>
        </w:tc>
        <w:tc>
          <w:tcPr>
            <w:tcW w:w="15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905204" w14:textId="46972FAD" w:rsidR="00686669" w:rsidRPr="00330F91" w:rsidRDefault="00456844" w:rsidP="00456844">
            <w:pPr>
              <w:jc w:val="center"/>
              <w:rPr>
                <w:b/>
                <w:sz w:val="18"/>
                <w:szCs w:val="18"/>
              </w:rPr>
            </w:pPr>
            <w:r w:rsidRPr="00330F91">
              <w:rPr>
                <w:b/>
                <w:bCs/>
                <w:sz w:val="18"/>
                <w:szCs w:val="18"/>
              </w:rPr>
              <w:t>Maryland</w:t>
            </w:r>
          </w:p>
        </w:tc>
        <w:tc>
          <w:tcPr>
            <w:tcW w:w="15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669F1B" w14:textId="7F8A87E5" w:rsidR="004B48C3" w:rsidRPr="00330F91" w:rsidRDefault="00811075" w:rsidP="00456844">
            <w:pPr>
              <w:jc w:val="center"/>
              <w:rPr>
                <w:b/>
                <w:bCs/>
                <w:sz w:val="18"/>
                <w:szCs w:val="18"/>
              </w:rPr>
            </w:pPr>
            <w:r>
              <w:rPr>
                <w:b/>
                <w:bCs/>
                <w:sz w:val="18"/>
                <w:szCs w:val="18"/>
              </w:rPr>
              <w:t>New York</w:t>
            </w:r>
          </w:p>
        </w:tc>
        <w:tc>
          <w:tcPr>
            <w:tcW w:w="15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63CA22" w14:textId="40A8CFA4" w:rsidR="004B48C3" w:rsidRPr="00330F91" w:rsidRDefault="006B2525" w:rsidP="00456844">
            <w:pPr>
              <w:jc w:val="center"/>
              <w:rPr>
                <w:b/>
                <w:bCs/>
                <w:sz w:val="18"/>
                <w:szCs w:val="18"/>
              </w:rPr>
            </w:pPr>
            <w:r>
              <w:rPr>
                <w:b/>
                <w:bCs/>
                <w:sz w:val="18"/>
                <w:szCs w:val="18"/>
              </w:rPr>
              <w:t>Illinois</w:t>
            </w:r>
          </w:p>
        </w:tc>
      </w:tr>
      <w:tr w:rsidR="00507B61" w14:paraId="5C93ABEF" w14:textId="0673E853" w:rsidTr="006B2525">
        <w:trPr>
          <w:trHeight w:val="413"/>
        </w:trPr>
        <w:tc>
          <w:tcPr>
            <w:tcW w:w="16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5505F0" w14:textId="3EC61179" w:rsidR="00507B61" w:rsidRPr="00330F91" w:rsidRDefault="00507B61" w:rsidP="00456844">
            <w:pPr>
              <w:rPr>
                <w:b/>
                <w:sz w:val="18"/>
                <w:szCs w:val="18"/>
              </w:rPr>
            </w:pPr>
            <w:r w:rsidRPr="00330F91">
              <w:rPr>
                <w:b/>
                <w:sz w:val="18"/>
                <w:szCs w:val="18"/>
              </w:rPr>
              <w:t>Approx. Population</w:t>
            </w:r>
            <w:r w:rsidR="00BE2198">
              <w:rPr>
                <w:rStyle w:val="FootnoteReference"/>
                <w:b/>
                <w:bCs/>
                <w:sz w:val="18"/>
                <w:szCs w:val="18"/>
              </w:rPr>
              <w:footnoteReference w:id="48"/>
            </w:r>
          </w:p>
        </w:tc>
        <w:tc>
          <w:tcPr>
            <w:tcW w:w="1548" w:type="dxa"/>
            <w:tcBorders>
              <w:top w:val="single" w:sz="4" w:space="0" w:color="auto"/>
              <w:left w:val="single" w:sz="4" w:space="0" w:color="auto"/>
              <w:bottom w:val="single" w:sz="4" w:space="0" w:color="auto"/>
              <w:right w:val="single" w:sz="4" w:space="0" w:color="auto"/>
            </w:tcBorders>
            <w:vAlign w:val="center"/>
          </w:tcPr>
          <w:p w14:paraId="41D1BD87" w14:textId="6A29E797" w:rsidR="00507B61" w:rsidRPr="00330F91" w:rsidRDefault="00921816" w:rsidP="00456844">
            <w:pPr>
              <w:jc w:val="center"/>
              <w:rPr>
                <w:sz w:val="18"/>
                <w:szCs w:val="18"/>
              </w:rPr>
            </w:pPr>
            <w:r w:rsidRPr="00921816">
              <w:rPr>
                <w:sz w:val="18"/>
                <w:szCs w:val="18"/>
              </w:rPr>
              <w:t>8.</w:t>
            </w:r>
            <w:r w:rsidR="00DE5C3B">
              <w:rPr>
                <w:sz w:val="18"/>
                <w:szCs w:val="18"/>
              </w:rPr>
              <w:t>88</w:t>
            </w:r>
            <w:r w:rsidRPr="00921816">
              <w:rPr>
                <w:sz w:val="18"/>
                <w:szCs w:val="18"/>
              </w:rPr>
              <w:t xml:space="preserve"> million</w:t>
            </w:r>
          </w:p>
        </w:tc>
        <w:tc>
          <w:tcPr>
            <w:tcW w:w="1548" w:type="dxa"/>
            <w:tcBorders>
              <w:top w:val="single" w:sz="4" w:space="0" w:color="auto"/>
              <w:left w:val="single" w:sz="4" w:space="0" w:color="auto"/>
              <w:bottom w:val="single" w:sz="4" w:space="0" w:color="auto"/>
              <w:right w:val="single" w:sz="4" w:space="0" w:color="auto"/>
            </w:tcBorders>
            <w:vAlign w:val="center"/>
          </w:tcPr>
          <w:p w14:paraId="2660A8E7" w14:textId="74EE8880" w:rsidR="00507B61" w:rsidRPr="00330F91" w:rsidRDefault="00456844" w:rsidP="00456844">
            <w:pPr>
              <w:jc w:val="center"/>
              <w:rPr>
                <w:sz w:val="18"/>
                <w:szCs w:val="18"/>
              </w:rPr>
            </w:pPr>
            <w:r>
              <w:rPr>
                <w:sz w:val="18"/>
                <w:szCs w:val="18"/>
              </w:rPr>
              <w:t>7.15</w:t>
            </w:r>
            <w:r w:rsidR="002A1634">
              <w:rPr>
                <w:sz w:val="18"/>
                <w:szCs w:val="18"/>
              </w:rPr>
              <w:t xml:space="preserve"> million</w:t>
            </w:r>
          </w:p>
        </w:tc>
        <w:tc>
          <w:tcPr>
            <w:tcW w:w="1549" w:type="dxa"/>
            <w:tcBorders>
              <w:top w:val="single" w:sz="4" w:space="0" w:color="auto"/>
              <w:left w:val="single" w:sz="4" w:space="0" w:color="auto"/>
              <w:bottom w:val="single" w:sz="4" w:space="0" w:color="auto"/>
              <w:right w:val="single" w:sz="4" w:space="0" w:color="auto"/>
            </w:tcBorders>
            <w:vAlign w:val="center"/>
          </w:tcPr>
          <w:p w14:paraId="653C7CFC" w14:textId="64A689F5" w:rsidR="00507B61" w:rsidRPr="00330F91" w:rsidRDefault="00456844" w:rsidP="00456844">
            <w:pPr>
              <w:jc w:val="center"/>
              <w:rPr>
                <w:sz w:val="18"/>
                <w:szCs w:val="18"/>
              </w:rPr>
            </w:pPr>
            <w:r>
              <w:rPr>
                <w:sz w:val="18"/>
                <w:szCs w:val="18"/>
              </w:rPr>
              <w:t>6.</w:t>
            </w:r>
            <w:r w:rsidR="00A02E4D">
              <w:rPr>
                <w:sz w:val="18"/>
                <w:szCs w:val="18"/>
              </w:rPr>
              <w:t>27</w:t>
            </w:r>
            <w:r w:rsidR="00DA1BDA">
              <w:rPr>
                <w:sz w:val="18"/>
                <w:szCs w:val="18"/>
              </w:rPr>
              <w:t xml:space="preserve"> million</w:t>
            </w:r>
          </w:p>
        </w:tc>
        <w:tc>
          <w:tcPr>
            <w:tcW w:w="1548" w:type="dxa"/>
            <w:tcBorders>
              <w:top w:val="single" w:sz="4" w:space="0" w:color="auto"/>
              <w:left w:val="single" w:sz="4" w:space="0" w:color="auto"/>
              <w:bottom w:val="single" w:sz="4" w:space="0" w:color="auto"/>
              <w:right w:val="single" w:sz="4" w:space="0" w:color="auto"/>
            </w:tcBorders>
            <w:vAlign w:val="center"/>
          </w:tcPr>
          <w:p w14:paraId="12EE79F4" w14:textId="61DF5CEF" w:rsidR="004B48C3" w:rsidRDefault="005017A7" w:rsidP="00456844">
            <w:pPr>
              <w:jc w:val="center"/>
              <w:rPr>
                <w:sz w:val="18"/>
                <w:szCs w:val="18"/>
              </w:rPr>
            </w:pPr>
            <w:r>
              <w:rPr>
                <w:sz w:val="18"/>
                <w:szCs w:val="18"/>
              </w:rPr>
              <w:t>20</w:t>
            </w:r>
            <w:r w:rsidR="00A02E4D">
              <w:rPr>
                <w:sz w:val="18"/>
                <w:szCs w:val="18"/>
              </w:rPr>
              <w:t>.00</w:t>
            </w:r>
            <w:r>
              <w:rPr>
                <w:sz w:val="18"/>
                <w:szCs w:val="18"/>
              </w:rPr>
              <w:t xml:space="preserve"> million</w:t>
            </w:r>
          </w:p>
        </w:tc>
        <w:tc>
          <w:tcPr>
            <w:tcW w:w="1549" w:type="dxa"/>
            <w:tcBorders>
              <w:top w:val="single" w:sz="4" w:space="0" w:color="auto"/>
              <w:left w:val="single" w:sz="4" w:space="0" w:color="auto"/>
              <w:bottom w:val="single" w:sz="4" w:space="0" w:color="auto"/>
              <w:right w:val="single" w:sz="4" w:space="0" w:color="auto"/>
            </w:tcBorders>
            <w:vAlign w:val="center"/>
          </w:tcPr>
          <w:p w14:paraId="2671A7A6" w14:textId="2AFCA692" w:rsidR="004B48C3" w:rsidRDefault="00051DA9" w:rsidP="00456844">
            <w:pPr>
              <w:jc w:val="center"/>
              <w:rPr>
                <w:sz w:val="18"/>
                <w:szCs w:val="18"/>
              </w:rPr>
            </w:pPr>
            <w:r>
              <w:rPr>
                <w:sz w:val="18"/>
                <w:szCs w:val="18"/>
              </w:rPr>
              <w:t>12.7</w:t>
            </w:r>
            <w:r w:rsidR="00A02E4D">
              <w:rPr>
                <w:sz w:val="18"/>
                <w:szCs w:val="18"/>
              </w:rPr>
              <w:t>2</w:t>
            </w:r>
            <w:r>
              <w:rPr>
                <w:sz w:val="18"/>
                <w:szCs w:val="18"/>
              </w:rPr>
              <w:t xml:space="preserve"> million</w:t>
            </w:r>
          </w:p>
        </w:tc>
      </w:tr>
      <w:tr w:rsidR="00686669" w14:paraId="2C1930D9" w14:textId="678D9A47" w:rsidTr="006B2525">
        <w:trPr>
          <w:trHeight w:val="260"/>
        </w:trPr>
        <w:tc>
          <w:tcPr>
            <w:tcW w:w="16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57D568" w14:textId="5DB0A387" w:rsidR="00686669" w:rsidRPr="00330F91" w:rsidRDefault="00D87EE3" w:rsidP="00456844">
            <w:pPr>
              <w:rPr>
                <w:b/>
                <w:sz w:val="18"/>
                <w:szCs w:val="18"/>
              </w:rPr>
            </w:pPr>
            <w:r>
              <w:rPr>
                <w:b/>
                <w:bCs/>
                <w:sz w:val="18"/>
                <w:szCs w:val="18"/>
              </w:rPr>
              <w:t xml:space="preserve">2025 </w:t>
            </w:r>
            <w:r w:rsidR="0099357F" w:rsidRPr="00330F91">
              <w:rPr>
                <w:b/>
                <w:sz w:val="18"/>
                <w:szCs w:val="18"/>
              </w:rPr>
              <w:t xml:space="preserve">Net </w:t>
            </w:r>
            <w:r w:rsidR="002C48BA">
              <w:rPr>
                <w:b/>
                <w:sz w:val="18"/>
                <w:szCs w:val="18"/>
              </w:rPr>
              <w:t>M</w:t>
            </w:r>
            <w:r w:rsidR="006B2525" w:rsidRPr="00330F91">
              <w:rPr>
                <w:b/>
                <w:sz w:val="18"/>
                <w:szCs w:val="18"/>
              </w:rPr>
              <w:t xml:space="preserve">etered </w:t>
            </w:r>
            <w:r w:rsidR="002C48BA">
              <w:rPr>
                <w:b/>
                <w:sz w:val="18"/>
                <w:szCs w:val="18"/>
              </w:rPr>
              <w:t>S</w:t>
            </w:r>
            <w:r w:rsidR="006B2525" w:rsidRPr="00330F91">
              <w:rPr>
                <w:b/>
                <w:sz w:val="18"/>
                <w:szCs w:val="18"/>
              </w:rPr>
              <w:t xml:space="preserve">olar </w:t>
            </w:r>
            <w:r w:rsidR="002C48BA">
              <w:rPr>
                <w:b/>
                <w:sz w:val="18"/>
                <w:szCs w:val="18"/>
              </w:rPr>
              <w:t>C</w:t>
            </w:r>
            <w:r w:rsidR="00507B61" w:rsidRPr="00330F91">
              <w:rPr>
                <w:b/>
                <w:sz w:val="18"/>
                <w:szCs w:val="18"/>
              </w:rPr>
              <w:t>apacity</w:t>
            </w:r>
            <w:r w:rsidR="00CF73A0">
              <w:rPr>
                <w:rStyle w:val="FootnoteReference"/>
                <w:b/>
                <w:bCs/>
                <w:sz w:val="18"/>
                <w:szCs w:val="18"/>
              </w:rPr>
              <w:footnoteReference w:id="49"/>
            </w:r>
          </w:p>
        </w:tc>
        <w:tc>
          <w:tcPr>
            <w:tcW w:w="1548" w:type="dxa"/>
            <w:tcBorders>
              <w:top w:val="single" w:sz="4" w:space="0" w:color="auto"/>
              <w:left w:val="single" w:sz="4" w:space="0" w:color="auto"/>
              <w:bottom w:val="single" w:sz="4" w:space="0" w:color="auto"/>
              <w:right w:val="single" w:sz="4" w:space="0" w:color="auto"/>
            </w:tcBorders>
            <w:vAlign w:val="center"/>
          </w:tcPr>
          <w:p w14:paraId="6EA2BCB0" w14:textId="26EE9353" w:rsidR="00686669" w:rsidRPr="00330F91" w:rsidRDefault="00E564C1" w:rsidP="00BA5F7F">
            <w:pPr>
              <w:jc w:val="center"/>
              <w:rPr>
                <w:sz w:val="18"/>
                <w:szCs w:val="18"/>
              </w:rPr>
            </w:pPr>
            <w:r>
              <w:rPr>
                <w:sz w:val="18"/>
                <w:szCs w:val="18"/>
              </w:rPr>
              <w:t>725</w:t>
            </w:r>
            <w:r w:rsidR="00490DE2">
              <w:rPr>
                <w:sz w:val="18"/>
                <w:szCs w:val="18"/>
              </w:rPr>
              <w:t xml:space="preserve"> MW</w:t>
            </w:r>
          </w:p>
        </w:tc>
        <w:tc>
          <w:tcPr>
            <w:tcW w:w="1548" w:type="dxa"/>
            <w:tcBorders>
              <w:top w:val="single" w:sz="4" w:space="0" w:color="auto"/>
              <w:left w:val="single" w:sz="4" w:space="0" w:color="auto"/>
              <w:bottom w:val="single" w:sz="4" w:space="0" w:color="auto"/>
              <w:right w:val="single" w:sz="4" w:space="0" w:color="auto"/>
            </w:tcBorders>
            <w:vAlign w:val="center"/>
          </w:tcPr>
          <w:p w14:paraId="742D97D5" w14:textId="4F7BCB85" w:rsidR="00686669" w:rsidRPr="00330F91" w:rsidRDefault="00E0254F" w:rsidP="00BA5F7F">
            <w:pPr>
              <w:jc w:val="center"/>
              <w:rPr>
                <w:sz w:val="18"/>
                <w:szCs w:val="18"/>
              </w:rPr>
            </w:pPr>
            <w:r>
              <w:rPr>
                <w:sz w:val="18"/>
                <w:szCs w:val="18"/>
              </w:rPr>
              <w:t>3,</w:t>
            </w:r>
            <w:r w:rsidR="00F83DE9">
              <w:rPr>
                <w:sz w:val="18"/>
                <w:szCs w:val="18"/>
              </w:rPr>
              <w:t>092</w:t>
            </w:r>
            <w:r w:rsidR="00B4359C">
              <w:rPr>
                <w:sz w:val="18"/>
                <w:szCs w:val="18"/>
              </w:rPr>
              <w:t xml:space="preserve"> MW</w:t>
            </w:r>
          </w:p>
        </w:tc>
        <w:tc>
          <w:tcPr>
            <w:tcW w:w="1549" w:type="dxa"/>
            <w:tcBorders>
              <w:top w:val="single" w:sz="4" w:space="0" w:color="auto"/>
              <w:left w:val="single" w:sz="4" w:space="0" w:color="auto"/>
              <w:bottom w:val="single" w:sz="4" w:space="0" w:color="auto"/>
              <w:right w:val="single" w:sz="4" w:space="0" w:color="auto"/>
            </w:tcBorders>
            <w:vAlign w:val="center"/>
          </w:tcPr>
          <w:p w14:paraId="1426B5CD" w14:textId="22AB5A30" w:rsidR="00686669" w:rsidRPr="00330F91" w:rsidRDefault="00615383" w:rsidP="00BA5F7F">
            <w:pPr>
              <w:jc w:val="center"/>
              <w:rPr>
                <w:sz w:val="18"/>
                <w:szCs w:val="18"/>
              </w:rPr>
            </w:pPr>
            <w:r>
              <w:rPr>
                <w:sz w:val="18"/>
                <w:szCs w:val="18"/>
              </w:rPr>
              <w:t>1,</w:t>
            </w:r>
            <w:r w:rsidR="00034F71">
              <w:rPr>
                <w:sz w:val="18"/>
                <w:szCs w:val="18"/>
              </w:rPr>
              <w:t>308</w:t>
            </w:r>
            <w:r w:rsidR="00943CB5">
              <w:rPr>
                <w:sz w:val="18"/>
                <w:szCs w:val="18"/>
              </w:rPr>
              <w:t xml:space="preserve"> MW</w:t>
            </w:r>
          </w:p>
        </w:tc>
        <w:tc>
          <w:tcPr>
            <w:tcW w:w="1548" w:type="dxa"/>
            <w:tcBorders>
              <w:top w:val="single" w:sz="4" w:space="0" w:color="auto"/>
              <w:left w:val="single" w:sz="4" w:space="0" w:color="auto"/>
              <w:bottom w:val="single" w:sz="4" w:space="0" w:color="auto"/>
              <w:right w:val="single" w:sz="4" w:space="0" w:color="auto"/>
            </w:tcBorders>
            <w:vAlign w:val="center"/>
          </w:tcPr>
          <w:p w14:paraId="1C35838D" w14:textId="31E516FE" w:rsidR="004B48C3" w:rsidRDefault="0033506A" w:rsidP="00BA5F7F">
            <w:pPr>
              <w:jc w:val="center"/>
              <w:rPr>
                <w:sz w:val="18"/>
                <w:szCs w:val="18"/>
              </w:rPr>
            </w:pPr>
            <w:r w:rsidRPr="0033506A">
              <w:rPr>
                <w:sz w:val="18"/>
                <w:szCs w:val="18"/>
              </w:rPr>
              <w:t>3</w:t>
            </w:r>
            <w:r>
              <w:rPr>
                <w:sz w:val="18"/>
                <w:szCs w:val="18"/>
              </w:rPr>
              <w:t>,</w:t>
            </w:r>
            <w:r w:rsidRPr="0033506A">
              <w:rPr>
                <w:sz w:val="18"/>
                <w:szCs w:val="18"/>
              </w:rPr>
              <w:t>815</w:t>
            </w:r>
            <w:r>
              <w:rPr>
                <w:sz w:val="18"/>
                <w:szCs w:val="18"/>
              </w:rPr>
              <w:t xml:space="preserve"> MW</w:t>
            </w:r>
          </w:p>
        </w:tc>
        <w:tc>
          <w:tcPr>
            <w:tcW w:w="1549" w:type="dxa"/>
            <w:tcBorders>
              <w:top w:val="single" w:sz="4" w:space="0" w:color="auto"/>
              <w:left w:val="single" w:sz="4" w:space="0" w:color="auto"/>
              <w:bottom w:val="single" w:sz="4" w:space="0" w:color="auto"/>
              <w:right w:val="single" w:sz="4" w:space="0" w:color="auto"/>
            </w:tcBorders>
            <w:vAlign w:val="center"/>
          </w:tcPr>
          <w:p w14:paraId="3E544201" w14:textId="3FC76EAE" w:rsidR="004B48C3" w:rsidRDefault="00FE1B58" w:rsidP="00BA5F7F">
            <w:pPr>
              <w:jc w:val="center"/>
              <w:rPr>
                <w:sz w:val="18"/>
                <w:szCs w:val="18"/>
              </w:rPr>
            </w:pPr>
            <w:r>
              <w:rPr>
                <w:sz w:val="18"/>
                <w:szCs w:val="18"/>
              </w:rPr>
              <w:t>1,512</w:t>
            </w:r>
          </w:p>
        </w:tc>
      </w:tr>
    </w:tbl>
    <w:p w14:paraId="12494804" w14:textId="59738DD9" w:rsidR="00456844" w:rsidRDefault="005B4470" w:rsidP="00565CD4">
      <w:pPr>
        <w:spacing w:after="240"/>
        <w:jc w:val="center"/>
      </w:pPr>
      <w:r>
        <w:rPr>
          <w:i/>
          <w:color w:val="595959" w:themeColor="text1" w:themeTint="A6"/>
          <w:sz w:val="20"/>
          <w:szCs w:val="20"/>
        </w:rPr>
        <w:t>Table 1</w:t>
      </w:r>
      <w:r w:rsidR="00565CD4" w:rsidRPr="7F9829BB">
        <w:rPr>
          <w:i/>
          <w:color w:val="595959" w:themeColor="text1" w:themeTint="A6"/>
          <w:sz w:val="20"/>
          <w:szCs w:val="20"/>
        </w:rPr>
        <w:t xml:space="preserve">: </w:t>
      </w:r>
      <w:r w:rsidR="000F07AB">
        <w:rPr>
          <w:i/>
          <w:color w:val="595959" w:themeColor="text1" w:themeTint="A6"/>
          <w:sz w:val="20"/>
          <w:szCs w:val="20"/>
        </w:rPr>
        <w:t>Net Metered Solar Capacity Comparison</w:t>
      </w:r>
      <w:r w:rsidR="00AF25EB">
        <w:rPr>
          <w:i/>
          <w:color w:val="595959" w:themeColor="text1" w:themeTint="A6"/>
          <w:sz w:val="20"/>
          <w:szCs w:val="20"/>
        </w:rPr>
        <w:t>. While growth in BTM solar has increased significantly since 2016, Virginia</w:t>
      </w:r>
      <w:r w:rsidR="00185D80">
        <w:rPr>
          <w:i/>
          <w:color w:val="595959" w:themeColor="text1" w:themeTint="A6"/>
          <w:sz w:val="20"/>
          <w:szCs w:val="20"/>
        </w:rPr>
        <w:t>’s growth has been outpaced by</w:t>
      </w:r>
      <w:r w:rsidR="00D95D54">
        <w:rPr>
          <w:i/>
          <w:color w:val="595959" w:themeColor="text1" w:themeTint="A6"/>
          <w:sz w:val="20"/>
          <w:szCs w:val="20"/>
        </w:rPr>
        <w:t xml:space="preserve"> states</w:t>
      </w:r>
      <w:r w:rsidR="00185D80">
        <w:rPr>
          <w:i/>
          <w:color w:val="595959" w:themeColor="text1" w:themeTint="A6"/>
          <w:sz w:val="20"/>
          <w:szCs w:val="20"/>
        </w:rPr>
        <w:t xml:space="preserve"> with similar populations and clean energy </w:t>
      </w:r>
      <w:r w:rsidR="00010F99">
        <w:rPr>
          <w:i/>
          <w:color w:val="595959" w:themeColor="text1" w:themeTint="A6"/>
          <w:sz w:val="20"/>
          <w:szCs w:val="20"/>
        </w:rPr>
        <w:t>targets</w:t>
      </w:r>
      <w:r w:rsidR="00185D80">
        <w:rPr>
          <w:i/>
          <w:color w:val="595959" w:themeColor="text1" w:themeTint="A6"/>
          <w:sz w:val="20"/>
          <w:szCs w:val="20"/>
        </w:rPr>
        <w:t xml:space="preserve">. </w:t>
      </w:r>
    </w:p>
    <w:p w14:paraId="4C9C1F7A" w14:textId="1FBAAC95" w:rsidR="00706C17" w:rsidRPr="00641855" w:rsidRDefault="00706C17" w:rsidP="00706C17">
      <w:pPr>
        <w:spacing w:after="200"/>
        <w:jc w:val="both"/>
        <w:rPr>
          <w:lang w:val="en-CA"/>
        </w:rPr>
      </w:pPr>
      <w:r>
        <w:rPr>
          <w:lang w:val="en-CA"/>
        </w:rPr>
        <w:t>Demand response</w:t>
      </w:r>
      <w:r w:rsidRPr="00641855">
        <w:rPr>
          <w:lang w:val="en-CA"/>
        </w:rPr>
        <w:t xml:space="preserve"> technologies</w:t>
      </w:r>
      <w:r>
        <w:rPr>
          <w:lang w:val="en-CA"/>
        </w:rPr>
        <w:t xml:space="preserve"> and programs, which </w:t>
      </w:r>
      <w:r w:rsidRPr="00641855">
        <w:rPr>
          <w:lang w:val="en-CA"/>
        </w:rPr>
        <w:t>range from direct load control</w:t>
      </w:r>
      <w:r>
        <w:rPr>
          <w:rStyle w:val="FootnoteReference"/>
          <w:lang w:val="en-CA"/>
        </w:rPr>
        <w:footnoteReference w:customMarkFollows="1" w:id="50"/>
        <w:t>*</w:t>
      </w:r>
      <w:r w:rsidRPr="00641855">
        <w:rPr>
          <w:lang w:val="en-CA"/>
        </w:rPr>
        <w:t xml:space="preserve"> to price-based programs</w:t>
      </w:r>
      <w:r>
        <w:rPr>
          <w:lang w:val="en-CA"/>
        </w:rPr>
        <w:t>,</w:t>
      </w:r>
      <w:r>
        <w:rPr>
          <w:rStyle w:val="FootnoteReference"/>
          <w:lang w:val="en-CA"/>
        </w:rPr>
        <w:footnoteReference w:customMarkFollows="1" w:id="51"/>
        <w:t>**</w:t>
      </w:r>
      <w:r>
        <w:rPr>
          <w:lang w:val="en-CA"/>
        </w:rPr>
        <w:t xml:space="preserve"> are also steadily adding flexible load. Dominion’s smart-thermostat pilot represents </w:t>
      </w:r>
      <w:r w:rsidRPr="00CE4DA1">
        <w:rPr>
          <w:lang w:val="en-CA"/>
        </w:rPr>
        <w:t>60.29 MW</w:t>
      </w:r>
      <w:r>
        <w:rPr>
          <w:lang w:val="en-CA"/>
        </w:rPr>
        <w:t xml:space="preserve"> of available flexible</w:t>
      </w:r>
      <w:r w:rsidRPr="00CE4DA1">
        <w:rPr>
          <w:lang w:val="en-CA"/>
        </w:rPr>
        <w:t xml:space="preserve"> capacity</w:t>
      </w:r>
      <w:r>
        <w:rPr>
          <w:lang w:val="en-CA"/>
        </w:rPr>
        <w:t xml:space="preserve"> in 2024 (more information on Virginia’s existing DR programs is listed in Appendix E).</w:t>
      </w:r>
      <w:r w:rsidR="00CF3EFF">
        <w:rPr>
          <w:lang w:val="en-CA"/>
        </w:rPr>
        <w:t xml:space="preserve"> And with </w:t>
      </w:r>
      <w:r w:rsidR="003848E5">
        <w:rPr>
          <w:lang w:val="en-CA"/>
        </w:rPr>
        <w:t xml:space="preserve">smart </w:t>
      </w:r>
      <w:r w:rsidR="006F2E7D">
        <w:rPr>
          <w:lang w:val="en-CA"/>
        </w:rPr>
        <w:t xml:space="preserve">thermostats </w:t>
      </w:r>
      <w:r w:rsidR="00FD5620">
        <w:rPr>
          <w:lang w:val="en-CA"/>
        </w:rPr>
        <w:t>and</w:t>
      </w:r>
      <w:r w:rsidR="006F2E7D" w:rsidRPr="006F2E7D">
        <w:rPr>
          <w:lang w:val="en-CA"/>
        </w:rPr>
        <w:t xml:space="preserve"> appliances, and advanced building controls</w:t>
      </w:r>
      <w:r w:rsidR="006F2E7D">
        <w:rPr>
          <w:lang w:val="en-CA"/>
        </w:rPr>
        <w:t>, becoming commonplace</w:t>
      </w:r>
      <w:r w:rsidR="001F63F9">
        <w:rPr>
          <w:lang w:val="en-CA"/>
        </w:rPr>
        <w:t>, the Task Force anticipates</w:t>
      </w:r>
      <w:r w:rsidR="008D0068">
        <w:rPr>
          <w:lang w:val="en-CA"/>
        </w:rPr>
        <w:t xml:space="preserve"> </w:t>
      </w:r>
      <w:r w:rsidR="006D455B">
        <w:rPr>
          <w:lang w:val="en-CA"/>
        </w:rPr>
        <w:t>DR to provide an even larger share of flexible load</w:t>
      </w:r>
      <w:r w:rsidR="00467AE8">
        <w:rPr>
          <w:lang w:val="en-CA"/>
        </w:rPr>
        <w:t xml:space="preserve"> and a </w:t>
      </w:r>
      <w:r w:rsidR="006F2E7D" w:rsidRPr="006F2E7D">
        <w:rPr>
          <w:lang w:val="en-CA"/>
        </w:rPr>
        <w:t>surplus power to the grid.</w:t>
      </w:r>
    </w:p>
    <w:p w14:paraId="47F18BD9" w14:textId="18AF1FB3" w:rsidR="008237E4" w:rsidRDefault="00F9380C" w:rsidP="003A2DDB">
      <w:pPr>
        <w:spacing w:before="120" w:after="120"/>
        <w:jc w:val="both"/>
      </w:pPr>
      <w:r>
        <w:rPr>
          <w:color w:val="000000" w:themeColor="text1"/>
        </w:rPr>
        <w:t>In addition to unlocking significant value by</w:t>
      </w:r>
      <w:r w:rsidRPr="00EB1E4C">
        <w:rPr>
          <w:color w:val="000000" w:themeColor="text1"/>
        </w:rPr>
        <w:t xml:space="preserve"> deploying new DERs and enrolling them in </w:t>
      </w:r>
      <w:r>
        <w:rPr>
          <w:color w:val="000000" w:themeColor="text1"/>
        </w:rPr>
        <w:t>VPPs</w:t>
      </w:r>
      <w:r w:rsidRPr="00EB1E4C">
        <w:rPr>
          <w:color w:val="000000" w:themeColor="text1"/>
        </w:rPr>
        <w:t>, there is opportunity to create additional customer and grid value by enabling existing DERs to participate in VPP programs</w:t>
      </w:r>
      <w:r w:rsidR="006C04B1">
        <w:rPr>
          <w:color w:val="000000" w:themeColor="text1"/>
        </w:rPr>
        <w:t xml:space="preserve"> and Dominion’s VPP pilot</w:t>
      </w:r>
      <w:r w:rsidR="00D26F00">
        <w:rPr>
          <w:color w:val="000000" w:themeColor="text1"/>
        </w:rPr>
        <w:t xml:space="preserve"> (which includes</w:t>
      </w:r>
      <w:r w:rsidR="00D26F00" w:rsidRPr="00D26F00">
        <w:t xml:space="preserve"> </w:t>
      </w:r>
      <w:r w:rsidR="00D26F00" w:rsidRPr="00ED04FC">
        <w:t>batteries; solar, smart thermostats, and EV chargers are all included as part of the resource network</w:t>
      </w:r>
      <w:r w:rsidR="00D26F00">
        <w:rPr>
          <w:color w:val="000000" w:themeColor="text1"/>
        </w:rPr>
        <w:t>) is a start</w:t>
      </w:r>
      <w:r w:rsidRPr="00EB1E4C">
        <w:rPr>
          <w:color w:val="000000" w:themeColor="text1"/>
        </w:rPr>
        <w:t xml:space="preserve">. National estimates suggest that approximately 80% of installed U.S. DER capacity is not currently enrolled in a VPP, indicating meaningful near-term potential to coordinate </w:t>
      </w:r>
      <w:r>
        <w:rPr>
          <w:color w:val="000000" w:themeColor="text1"/>
        </w:rPr>
        <w:t xml:space="preserve">existing </w:t>
      </w:r>
      <w:r w:rsidRPr="00EB1E4C">
        <w:rPr>
          <w:color w:val="000000" w:themeColor="text1"/>
        </w:rPr>
        <w:t>resources while continuing to expand deployment of new resources.</w:t>
      </w:r>
      <w:r w:rsidRPr="00EB1E4C">
        <w:rPr>
          <w:rStyle w:val="FootnoteReference"/>
          <w:color w:val="000000" w:themeColor="text1"/>
        </w:rPr>
        <w:footnoteReference w:id="52"/>
      </w:r>
      <w:r w:rsidR="0028377D">
        <w:rPr>
          <w:color w:val="000000" w:themeColor="text1"/>
        </w:rPr>
        <w:t xml:space="preserve"> </w:t>
      </w:r>
      <w:r>
        <w:rPr>
          <w:color w:val="000000" w:themeColor="text1"/>
        </w:rPr>
        <w:t xml:space="preserve"> Task Force discussions point to the need to prioritize efficient, timely DER deployment and indicate that the Commonwealth should pursue a strategy of accelerated adoption of new resources while facilitating enrollment of existing ones. This is reflected in the Task Force’s findings and recommendations summary in Section 5. </w:t>
      </w:r>
    </w:p>
    <w:p w14:paraId="73B3485D" w14:textId="346468A8" w:rsidR="00835BA2" w:rsidRPr="00835BA2" w:rsidRDefault="00835BA2" w:rsidP="0059500E">
      <w:pPr>
        <w:pStyle w:val="Heading2"/>
        <w:spacing w:before="120" w:after="120"/>
        <w:rPr>
          <w:rFonts w:eastAsia="Georgia"/>
          <w:b/>
          <w:color w:val="1F3A5F"/>
          <w:sz w:val="23"/>
          <w:szCs w:val="23"/>
        </w:rPr>
      </w:pPr>
      <w:bookmarkStart w:id="694" w:name="_Toc239862898"/>
      <w:r>
        <w:rPr>
          <w:rFonts w:eastAsia="Georgia"/>
          <w:b/>
          <w:color w:val="1F3A5F"/>
          <w:sz w:val="23"/>
          <w:szCs w:val="23"/>
        </w:rPr>
        <w:t>4.</w:t>
      </w:r>
      <w:r w:rsidR="008E5C99">
        <w:rPr>
          <w:rFonts w:eastAsia="Georgia"/>
          <w:b/>
          <w:color w:val="1F3A5F"/>
          <w:sz w:val="23"/>
          <w:szCs w:val="23"/>
        </w:rPr>
        <w:t>4</w:t>
      </w:r>
      <w:r w:rsidRPr="00C92B88">
        <w:rPr>
          <w:rFonts w:eastAsia="Georgia"/>
          <w:b/>
          <w:color w:val="1F3A5F"/>
          <w:sz w:val="23"/>
          <w:szCs w:val="23"/>
        </w:rPr>
        <w:t xml:space="preserve"> </w:t>
      </w:r>
      <w:r w:rsidR="00AC71FB">
        <w:rPr>
          <w:rFonts w:eastAsia="Georgia"/>
          <w:b/>
          <w:color w:val="1F3A5F"/>
          <w:sz w:val="23"/>
          <w:szCs w:val="23"/>
        </w:rPr>
        <w:t>Conclusion</w:t>
      </w:r>
      <w:bookmarkEnd w:id="694"/>
    </w:p>
    <w:p w14:paraId="770FBA69" w14:textId="115FE588" w:rsidR="00E945BE" w:rsidRDefault="00F8012C" w:rsidP="00FE4814">
      <w:pPr>
        <w:spacing w:after="240"/>
      </w:pPr>
      <w:r>
        <w:t xml:space="preserve">Given the </w:t>
      </w:r>
      <w:r w:rsidR="00116C7C">
        <w:t>magnitude of</w:t>
      </w:r>
      <w:r w:rsidR="00BC6946">
        <w:t xml:space="preserve"> </w:t>
      </w:r>
      <w:r w:rsidR="00E067FA">
        <w:t>potential benefits</w:t>
      </w:r>
      <w:r>
        <w:t xml:space="preserve"> of</w:t>
      </w:r>
      <w:r w:rsidR="00F133DE">
        <w:t xml:space="preserve"> </w:t>
      </w:r>
      <w:r w:rsidR="00635475">
        <w:t>DER</w:t>
      </w:r>
      <w:r w:rsidR="00F133DE">
        <w:t xml:space="preserve"> </w:t>
      </w:r>
      <w:r w:rsidR="00365774">
        <w:t>and VPP</w:t>
      </w:r>
      <w:r w:rsidR="00635475">
        <w:t xml:space="preserve"> </w:t>
      </w:r>
      <w:r w:rsidR="009770C8">
        <w:t>deployment</w:t>
      </w:r>
      <w:r w:rsidR="00204FCF">
        <w:t xml:space="preserve"> in </w:t>
      </w:r>
      <w:r w:rsidR="00F133DE">
        <w:t>the Commonwealth</w:t>
      </w:r>
      <w:r>
        <w:t xml:space="preserve"> </w:t>
      </w:r>
      <w:r w:rsidR="005347DE">
        <w:t xml:space="preserve">and </w:t>
      </w:r>
      <w:r w:rsidR="00EE4501">
        <w:t>the</w:t>
      </w:r>
      <w:r w:rsidR="00B9683A">
        <w:t xml:space="preserve"> </w:t>
      </w:r>
      <w:r w:rsidR="002243A6">
        <w:t xml:space="preserve">unprecedented </w:t>
      </w:r>
      <w:r w:rsidR="00430CD9">
        <w:t xml:space="preserve">electricity </w:t>
      </w:r>
      <w:r w:rsidR="00F05270">
        <w:t>demand growth</w:t>
      </w:r>
      <w:r w:rsidR="00EE4501">
        <w:t xml:space="preserve"> </w:t>
      </w:r>
      <w:r w:rsidR="00B9683A">
        <w:t>Virginia</w:t>
      </w:r>
      <w:r w:rsidR="00EE4501">
        <w:t xml:space="preserve"> is experiencing</w:t>
      </w:r>
      <w:r w:rsidR="00EC2725">
        <w:t xml:space="preserve">, the Task Force </w:t>
      </w:r>
      <w:r w:rsidR="009770C8">
        <w:t xml:space="preserve">has </w:t>
      </w:r>
      <w:r w:rsidR="00BB0A6F">
        <w:t xml:space="preserve">identified </w:t>
      </w:r>
      <w:r w:rsidR="009770C8">
        <w:t>key</w:t>
      </w:r>
      <w:r w:rsidR="00BB0A6F">
        <w:t xml:space="preserve"> barriers </w:t>
      </w:r>
      <w:r w:rsidR="00B73443">
        <w:t>and recommended actions aimed at</w:t>
      </w:r>
      <w:r w:rsidR="00BB0A6F">
        <w:t xml:space="preserve"> </w:t>
      </w:r>
      <w:r w:rsidR="003A151B">
        <w:t>increasing DER adoption</w:t>
      </w:r>
      <w:r w:rsidR="0069788A">
        <w:t xml:space="preserve"> </w:t>
      </w:r>
      <w:r w:rsidR="00210F52">
        <w:t>and market participation</w:t>
      </w:r>
      <w:r w:rsidR="00DA72D0">
        <w:t>, recommending actions to address</w:t>
      </w:r>
      <w:r w:rsidR="00FE4814" w:rsidRPr="00C309F4">
        <w:t xml:space="preserve"> </w:t>
      </w:r>
      <w:r w:rsidR="00C83539">
        <w:t>challenges in</w:t>
      </w:r>
      <w:r w:rsidR="00FE4814" w:rsidRPr="00C309F4">
        <w:t xml:space="preserve"> DER interconnection, </w:t>
      </w:r>
      <w:r w:rsidR="00DA72D0">
        <w:t>compensation,</w:t>
      </w:r>
      <w:r w:rsidR="00FE4814" w:rsidRPr="00C309F4">
        <w:t xml:space="preserve"> upfront cost</w:t>
      </w:r>
      <w:r w:rsidR="00DA72D0">
        <w:t xml:space="preserve"> barriers</w:t>
      </w:r>
      <w:r w:rsidR="00FE4814" w:rsidRPr="00C309F4">
        <w:t>, customer awareness</w:t>
      </w:r>
      <w:r w:rsidR="00DA72D0">
        <w:t>,</w:t>
      </w:r>
      <w:r w:rsidR="00FE4814" w:rsidRPr="00C309F4">
        <w:t xml:space="preserve"> </w:t>
      </w:r>
      <w:r w:rsidR="00EE4501">
        <w:t>and</w:t>
      </w:r>
      <w:r w:rsidR="00FE4814" w:rsidRPr="00C309F4">
        <w:t xml:space="preserve"> </w:t>
      </w:r>
      <w:r w:rsidR="00FE4814" w:rsidRPr="00FF3A5E">
        <w:t xml:space="preserve">data access, </w:t>
      </w:r>
      <w:r w:rsidR="00505BC0">
        <w:t>among others.</w:t>
      </w:r>
      <w:r w:rsidR="00FE4814">
        <w:t xml:space="preserve"> </w:t>
      </w:r>
      <w:r w:rsidR="002E4793">
        <w:t xml:space="preserve">The following section discusses </w:t>
      </w:r>
      <w:r w:rsidR="004621A1">
        <w:t xml:space="preserve">these recommendations in detail. </w:t>
      </w:r>
    </w:p>
    <w:p w14:paraId="5CEAFCF3" w14:textId="19E8E5ED" w:rsidR="005D6CE7" w:rsidRPr="0041421A" w:rsidRDefault="00995D1A" w:rsidP="00160BBE">
      <w:pPr>
        <w:pStyle w:val="Heading1"/>
        <w:pageBreakBefore/>
        <w:pBdr>
          <w:bottom w:val="single" w:sz="10" w:space="6" w:color="1F3A5F"/>
        </w:pBdr>
        <w:spacing w:after="240"/>
        <w:rPr>
          <w:rFonts w:eastAsia="Georgia"/>
          <w:b/>
          <w:color w:val="1F3A5F"/>
        </w:rPr>
      </w:pPr>
      <w:bookmarkStart w:id="695" w:name="_Toc1404913804"/>
      <w:bookmarkStart w:id="696" w:name="_Toc1065738763"/>
      <w:bookmarkStart w:id="697" w:name="_Toc532989598"/>
      <w:bookmarkStart w:id="698" w:name="_Toc58626318"/>
      <w:bookmarkStart w:id="699" w:name="_Toc1517641913"/>
      <w:bookmarkStart w:id="700" w:name="_Toc1080972256"/>
      <w:bookmarkStart w:id="701" w:name="_Toc826244273"/>
      <w:bookmarkStart w:id="702" w:name="_Toc618270085"/>
      <w:bookmarkStart w:id="703" w:name="_Toc1571510313"/>
      <w:bookmarkStart w:id="704" w:name="_Toc1427720635"/>
      <w:bookmarkStart w:id="705" w:name="_Toc1836599037"/>
      <w:bookmarkStart w:id="706" w:name="_Toc785961523"/>
      <w:bookmarkStart w:id="707" w:name="_Toc988606049"/>
      <w:bookmarkStart w:id="708" w:name="_Toc134420984"/>
      <w:bookmarkStart w:id="709" w:name="_Toc1884257873"/>
      <w:bookmarkStart w:id="710" w:name="_Toc1726925588"/>
      <w:bookmarkStart w:id="711" w:name="_Toc1079070385"/>
      <w:bookmarkStart w:id="712" w:name="_Toc1624253921"/>
      <w:bookmarkStart w:id="713" w:name="_Toc1798098257"/>
      <w:bookmarkStart w:id="714" w:name="_Toc1415268428"/>
      <w:bookmarkStart w:id="715" w:name="_Toc1989126556"/>
      <w:bookmarkStart w:id="716" w:name="_Toc731243718"/>
      <w:bookmarkStart w:id="717" w:name="_Toc153300363"/>
      <w:bookmarkStart w:id="718" w:name="_Toc584097268"/>
      <w:bookmarkStart w:id="719" w:name="_Toc1803575985"/>
      <w:bookmarkStart w:id="720" w:name="_Toc948063066"/>
      <w:bookmarkStart w:id="721" w:name="_Toc17832226"/>
      <w:bookmarkStart w:id="722" w:name="_Toc1495626963"/>
      <w:bookmarkStart w:id="723" w:name="_Toc31505165"/>
      <w:bookmarkStart w:id="724" w:name="_Toc1865299266"/>
      <w:bookmarkStart w:id="725" w:name="_Toc1073851015"/>
      <w:bookmarkStart w:id="726" w:name="_Toc706595383"/>
      <w:bookmarkStart w:id="727" w:name="_Toc30525029"/>
      <w:bookmarkStart w:id="728" w:name="_Toc2091849445"/>
      <w:bookmarkStart w:id="729" w:name="_Toc1354307457"/>
      <w:bookmarkStart w:id="730" w:name="_Toc552606239"/>
      <w:bookmarkStart w:id="731" w:name="_Toc848299090"/>
      <w:bookmarkStart w:id="732" w:name="_Toc953084227"/>
      <w:bookmarkStart w:id="733" w:name="_Toc701695079"/>
      <w:bookmarkStart w:id="734" w:name="_Toc1620071220"/>
      <w:bookmarkStart w:id="735" w:name="_Toc848326148"/>
      <w:bookmarkStart w:id="736" w:name="_Toc2030624511"/>
      <w:bookmarkStart w:id="737" w:name="_Toc41962511"/>
      <w:bookmarkStart w:id="738" w:name="_Toc1579809560"/>
      <w:bookmarkStart w:id="739" w:name="_Toc1075158197"/>
      <w:bookmarkStart w:id="740" w:name="_Toc2114066188"/>
      <w:bookmarkStart w:id="741" w:name="_Toc410990125"/>
      <w:bookmarkStart w:id="742" w:name="_Toc1654475741"/>
      <w:bookmarkStart w:id="743" w:name="_Toc239862899"/>
      <w:r w:rsidRPr="0041421A">
        <w:rPr>
          <w:rFonts w:eastAsia="Georgia"/>
          <w:b/>
          <w:bCs/>
          <w:color w:val="1F3A5F"/>
        </w:rPr>
        <w:t>5. Task Force Findings</w:t>
      </w:r>
      <w:r w:rsidR="009F73ED">
        <w:rPr>
          <w:rFonts w:eastAsia="Georgia"/>
          <w:b/>
          <w:bCs/>
          <w:color w:val="1F3A5F"/>
        </w:rPr>
        <w:t>, Recommendations, and Path Forward</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p>
    <w:p w14:paraId="76433EE1" w14:textId="7C4E8007" w:rsidR="00110307" w:rsidRDefault="00110307" w:rsidP="00110307">
      <w:r>
        <w:t>A</w:t>
      </w:r>
      <w:r w:rsidRPr="00563950">
        <w:t xml:space="preserve">chieving </w:t>
      </w:r>
      <w:r>
        <w:t>the Commonwealth’s DER</w:t>
      </w:r>
      <w:r w:rsidRPr="00563950">
        <w:t xml:space="preserve"> vision requires </w:t>
      </w:r>
      <w:r>
        <w:t>strategies for</w:t>
      </w:r>
      <w:r w:rsidRPr="00563950">
        <w:t xml:space="preserve"> </w:t>
      </w:r>
      <w:r w:rsidRPr="00EA5379">
        <w:rPr>
          <w:b/>
        </w:rPr>
        <w:t>continued DER adoption</w:t>
      </w:r>
      <w:r w:rsidRPr="00563950">
        <w:t xml:space="preserve"> </w:t>
      </w:r>
      <w:r>
        <w:t>(making adoption more attractive by mitigating up-front capital costs and addressing soft costs)</w:t>
      </w:r>
      <w:r w:rsidRPr="00563950">
        <w:t xml:space="preserve"> and the development of durable pathways for </w:t>
      </w:r>
      <w:r w:rsidRPr="00141879">
        <w:rPr>
          <w:b/>
        </w:rPr>
        <w:t>DER market participation</w:t>
      </w:r>
      <w:r>
        <w:t xml:space="preserve">, as summarized in </w:t>
      </w:r>
      <w:r w:rsidRPr="00CE2521">
        <w:t xml:space="preserve">Figure </w:t>
      </w:r>
      <w:r w:rsidR="005B4470">
        <w:t>4</w:t>
      </w:r>
      <w:r w:rsidRPr="00563950">
        <w:t>. Increasing adoption expands the base of customer- and community-sited resources that may be eligible for future aggregation. In turn, transparent and reliable compensation for grid services can improve the economics of DER investments, increase customer participation, and support further deployment. DER adoption and VPP participation should therefore be understood as mutually reinforcing: a larger base of DERs creates greater potential for aggregation, while VPP participation can allow customers and communities to realize more of the value their resources provide.</w:t>
      </w:r>
    </w:p>
    <w:p w14:paraId="6721BE76" w14:textId="77777777" w:rsidR="00BC3F60" w:rsidRDefault="00BC3F60" w:rsidP="00110307"/>
    <w:p w14:paraId="12D40E4C" w14:textId="77777777" w:rsidR="00BC3F60" w:rsidRDefault="00BC3F60" w:rsidP="00BC3F60">
      <w:pPr>
        <w:spacing w:after="240"/>
        <w:rPr>
          <w:i/>
          <w:color w:val="595959" w:themeColor="text1" w:themeTint="A6"/>
          <w:sz w:val="20"/>
          <w:szCs w:val="20"/>
        </w:rPr>
      </w:pPr>
      <w:r>
        <w:rPr>
          <w:noProof/>
        </w:rPr>
        <w:drawing>
          <wp:inline distT="0" distB="0" distL="0" distR="0" wp14:anchorId="5298EDED" wp14:editId="4FEC7CC8">
            <wp:extent cx="5943600" cy="3494737"/>
            <wp:effectExtent l="0" t="0" r="0" b="0"/>
            <wp:docPr id="1059756600" name="Picture 2" descr="Recreate the attached infographic with the exact same overall dimensions, layout, typography, colors, spacing, arrows, and all existing text. Preserve the title “DER Adoption - Market Participation Feedback Loop,” the two top boxes titled “DER Adoption” and “DER Market Participation (e.g., Virtual Power Plant aggregations),” and the center circular feedback arrows and explanatory text. Remove the italicized phrase “Example topics to understand:” from both top boxes, while keeping all their bullet items unchanged. Add a long box spanning the graphic width below the two existing top boxes and above the bottom explanatory text. Format it similarly to the existing boxes, with the title “Cross-Cutting Recommendations.” Inside this new box, place the recommendations horizontally on one line as separate bullet items: “Aligning With Ongoing Virginia Efforts”, “Workforce”, “Schools &amp; Public Facilities”, “Data Centers &amp; DERs”, and “Microgrids”. Ensure “Workforce” and “Schools &amp; Public Facilities” are distinct separate bullets. Keep the bottom explanatory text below the new box unchanged. Do not alter any other wording, formatting, or visual elements. No extra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create the attached infographic with the exact same overall dimensions, layout, typography, colors, spacing, arrows, and all existing text. Preserve the title “DER Adoption - Market Participation Feedback Loop,” the two top boxes titled “DER Adoption” and “DER Market Participation (e.g., Virtual Power Plant aggregations),” and the center circular feedback arrows and explanatory text. Remove the italicized phrase “Example topics to understand:” from both top boxes, while keeping all their bullet items unchanged. Add a long box spanning the graphic width below the two existing top boxes and above the bottom explanatory text. Format it similarly to the existing boxes, with the title “Cross-Cutting Recommendations.” Inside this new box, place the recommendations horizontally on one line as separate bullet items: “Aligning With Ongoing Virginia Efforts”, “Workforce”, “Schools &amp; Public Facilities”, “Data Centers &amp; DERs”, and “Microgrids”. Ensure “Workforce” and “Schools &amp; Public Facilities” are distinct separate bullets. Keep the bottom explanatory text below the new box unchanged. Do not alter any other wording, formatting, or visual elements. No extra text."/>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9832"/>
                    <a:stretch>
                      <a:fillRect/>
                    </a:stretch>
                  </pic:blipFill>
                  <pic:spPr bwMode="auto">
                    <a:xfrm>
                      <a:off x="0" y="0"/>
                      <a:ext cx="5943600" cy="3494737"/>
                    </a:xfrm>
                    <a:prstGeom prst="rect">
                      <a:avLst/>
                    </a:prstGeom>
                    <a:noFill/>
                    <a:ln>
                      <a:noFill/>
                    </a:ln>
                    <a:extLst>
                      <a:ext uri="{53640926-AAD7-44D8-BBD7-CCE9431645EC}">
                        <a14:shadowObscured xmlns:a14="http://schemas.microsoft.com/office/drawing/2010/main"/>
                      </a:ext>
                    </a:extLst>
                  </pic:spPr>
                </pic:pic>
              </a:graphicData>
            </a:graphic>
          </wp:inline>
        </w:drawing>
      </w:r>
    </w:p>
    <w:p w14:paraId="6C3544AF" w14:textId="5B3FC4D0" w:rsidR="00BC3F60" w:rsidRDefault="00BC3F60" w:rsidP="00BC3F60">
      <w:pPr>
        <w:spacing w:after="240"/>
        <w:jc w:val="center"/>
      </w:pPr>
      <w:r w:rsidRPr="7F9829BB">
        <w:rPr>
          <w:i/>
          <w:color w:val="595959" w:themeColor="text1" w:themeTint="A6"/>
          <w:sz w:val="20"/>
          <w:szCs w:val="20"/>
        </w:rPr>
        <w:t xml:space="preserve">Figure </w:t>
      </w:r>
      <w:r w:rsidR="005B4470">
        <w:rPr>
          <w:i/>
          <w:color w:val="595959" w:themeColor="text1" w:themeTint="A6"/>
          <w:sz w:val="20"/>
          <w:szCs w:val="20"/>
        </w:rPr>
        <w:t>4</w:t>
      </w:r>
      <w:r w:rsidRPr="7F9829BB">
        <w:rPr>
          <w:i/>
          <w:color w:val="595959" w:themeColor="text1" w:themeTint="A6"/>
          <w:sz w:val="20"/>
          <w:szCs w:val="20"/>
        </w:rPr>
        <w:t>: Primary areas identified as important to address when designing and implementing policies, programs, and procedures to benefit DER development. Source: Virginia DER Task Force analysis.</w:t>
      </w:r>
    </w:p>
    <w:p w14:paraId="49839A36" w14:textId="4E2DFF5A" w:rsidR="00FA1D7C" w:rsidRDefault="00FA1D7C" w:rsidP="00110307"/>
    <w:p w14:paraId="038FA9BE" w14:textId="1531B1E0" w:rsidR="00110307" w:rsidRDefault="00D33FC5" w:rsidP="008C639F">
      <w:pPr>
        <w:spacing w:after="240"/>
      </w:pPr>
      <w:r>
        <w:t>As outlined in this section, t</w:t>
      </w:r>
      <w:r w:rsidR="00A5501C">
        <w:t>he Task Force recommends</w:t>
      </w:r>
      <w:r w:rsidR="00A5501C" w:rsidRPr="00F35AE0">
        <w:t xml:space="preserve"> a multipronged strategy that both accelerates DER adoption and lays the groundwork for full </w:t>
      </w:r>
      <w:r w:rsidR="00A5501C">
        <w:t xml:space="preserve">DER </w:t>
      </w:r>
      <w:r w:rsidR="00A5501C" w:rsidRPr="00F35AE0">
        <w:t>market participation</w:t>
      </w:r>
      <w:r w:rsidR="00A5501C">
        <w:t xml:space="preserve"> through VPPs. </w:t>
      </w:r>
      <w:r w:rsidR="004E4A60">
        <w:t>For DER aggregation and</w:t>
      </w:r>
      <w:r w:rsidR="004E4A60" w:rsidRPr="008E7FCC">
        <w:t xml:space="preserve"> market</w:t>
      </w:r>
      <w:r w:rsidR="004E4A60">
        <w:t xml:space="preserve"> </w:t>
      </w:r>
      <w:r w:rsidR="004E4A60" w:rsidRPr="008E7FCC">
        <w:t>participation</w:t>
      </w:r>
      <w:r w:rsidR="004E4A60">
        <w:t>, the Task Force primarily focused</w:t>
      </w:r>
      <w:r w:rsidR="004E4A60" w:rsidRPr="008E7FCC">
        <w:t xml:space="preserve"> on </w:t>
      </w:r>
      <w:r w:rsidR="004E4A60" w:rsidRPr="00760415">
        <w:rPr>
          <w:i/>
        </w:rPr>
        <w:t>dispatchable</w:t>
      </w:r>
      <w:r w:rsidR="004E4A60" w:rsidRPr="008E7FCC">
        <w:t xml:space="preserve"> resources that can respond to grid, program, or market signal</w:t>
      </w:r>
      <w:r w:rsidR="004E4A60">
        <w:t>s</w:t>
      </w:r>
      <w:r w:rsidR="004E4A60" w:rsidRPr="008E7FCC">
        <w:t xml:space="preserve">. </w:t>
      </w:r>
      <w:r w:rsidR="004E4A60">
        <w:t>Because these</w:t>
      </w:r>
      <w:r w:rsidR="004E4A60" w:rsidRPr="008E7FCC">
        <w:t xml:space="preserve"> resources can increase output, reduce or shift electricity consumption, charge, discharge, or otherwise change operation in response to system conditions</w:t>
      </w:r>
      <w:r w:rsidR="004E4A60">
        <w:t>,</w:t>
      </w:r>
      <w:r w:rsidR="004E4A60" w:rsidRPr="008E7FCC">
        <w:t xml:space="preserve"> </w:t>
      </w:r>
      <w:r w:rsidR="004E4A60">
        <w:t>t</w:t>
      </w:r>
      <w:r w:rsidR="004E4A60" w:rsidRPr="008E7FCC">
        <w:t xml:space="preserve">hey are particularly well suited </w:t>
      </w:r>
      <w:r w:rsidR="004E4A60">
        <w:t>for</w:t>
      </w:r>
      <w:r w:rsidR="004E4A60" w:rsidRPr="008E7FCC">
        <w:t xml:space="preserve"> VPP</w:t>
      </w:r>
      <w:r w:rsidR="004E4A60">
        <w:t xml:space="preserve"> participation</w:t>
      </w:r>
      <w:r w:rsidR="004E4A60" w:rsidRPr="008E7FCC">
        <w:t xml:space="preserve"> and the provision of on-demand grid services.</w:t>
      </w:r>
      <w:r w:rsidR="008C639F">
        <w:t xml:space="preserve"> </w:t>
      </w:r>
    </w:p>
    <w:p w14:paraId="4715B470" w14:textId="03250A51" w:rsidR="000A4F8D" w:rsidRPr="000A4F8D" w:rsidRDefault="000A4F8D" w:rsidP="000A4F8D"/>
    <w:p w14:paraId="672117F6" w14:textId="77777777" w:rsidR="005809AA" w:rsidRDefault="005809AA" w:rsidP="00110307"/>
    <w:p w14:paraId="1640CC4D" w14:textId="1F6268BB" w:rsidR="00110307" w:rsidRDefault="00110307" w:rsidP="00110307">
      <w:r>
        <w:t xml:space="preserve">The Task Force </w:t>
      </w:r>
      <w:r w:rsidR="00113376">
        <w:t xml:space="preserve">also </w:t>
      </w:r>
      <w:r>
        <w:t>noted o</w:t>
      </w:r>
      <w:r w:rsidRPr="008E7FCC">
        <w:t xml:space="preserve">ther DER solutions remain </w:t>
      </w:r>
      <w:r>
        <w:t>key</w:t>
      </w:r>
      <w:r w:rsidRPr="008E7FCC">
        <w:t xml:space="preserve"> to Virginia’s broader DER-adoption strategy</w:t>
      </w:r>
      <w:r>
        <w:t>, including e</w:t>
      </w:r>
      <w:r w:rsidRPr="008E7FCC">
        <w:t>nergy efficiency</w:t>
      </w:r>
      <w:r>
        <w:t xml:space="preserve"> and </w:t>
      </w:r>
      <w:r w:rsidRPr="008E7FCC">
        <w:t>standalone solar</w:t>
      </w:r>
      <w:r>
        <w:t>. These solutions</w:t>
      </w:r>
      <w:r w:rsidRPr="008E7FCC">
        <w:t xml:space="preserve"> </w:t>
      </w:r>
      <w:r>
        <w:t>bring cost</w:t>
      </w:r>
      <w:r w:rsidRPr="008E7FCC">
        <w:t>, demand</w:t>
      </w:r>
      <w:r>
        <w:t xml:space="preserve"> reduction</w:t>
      </w:r>
      <w:r w:rsidRPr="008E7FCC">
        <w:t xml:space="preserve">, and </w:t>
      </w:r>
      <w:r>
        <w:t>decarbonization benefits</w:t>
      </w:r>
      <w:r w:rsidRPr="008E7FCC">
        <w:t xml:space="preserve"> even when they are not available for dispatch at a particular time. Microgrids and community resilience hubs are also within the Task Force’s statutory scope and can provide distinct local reliability and resilience benefits, particularly for critical facilities and vulnerable communities during outages. </w:t>
      </w:r>
    </w:p>
    <w:p w14:paraId="6B7BA2AB" w14:textId="77777777" w:rsidR="00BD0DFA" w:rsidRDefault="00BD0DFA" w:rsidP="00110307"/>
    <w:p w14:paraId="4E2E1B6C" w14:textId="2E862664" w:rsidR="00BE3E1E" w:rsidRDefault="00DD2132" w:rsidP="00110307">
      <w:r>
        <w:t>More details on each o</w:t>
      </w:r>
      <w:r w:rsidR="00996289">
        <w:t>f the</w:t>
      </w:r>
      <w:r>
        <w:t xml:space="preserve"> findings and recommendations to increase DER adoption </w:t>
      </w:r>
      <w:r w:rsidR="00FA1D7C">
        <w:t xml:space="preserve">and market participation </w:t>
      </w:r>
      <w:r w:rsidR="00CB5E1C">
        <w:t>are</w:t>
      </w:r>
      <w:r>
        <w:t xml:space="preserve"> described below.</w:t>
      </w:r>
    </w:p>
    <w:p w14:paraId="40C0FC24" w14:textId="77777777" w:rsidR="00320E6E" w:rsidRDefault="00320E6E" w:rsidP="00110307"/>
    <w:p w14:paraId="35B6014A" w14:textId="2DC1BB95" w:rsidR="007A5316" w:rsidRDefault="007A5316" w:rsidP="007A5316">
      <w:pPr>
        <w:pStyle w:val="Heading2"/>
        <w:spacing w:after="160"/>
        <w:rPr>
          <w:rFonts w:eastAsia="Georgia"/>
          <w:b/>
          <w:bCs/>
          <w:color w:val="1F3A5F"/>
        </w:rPr>
      </w:pPr>
      <w:bookmarkStart w:id="744" w:name="_Toc239862900"/>
      <w:r w:rsidRPr="0041421A">
        <w:rPr>
          <w:rFonts w:eastAsia="Georgia"/>
          <w:b/>
          <w:bCs/>
          <w:color w:val="1F3A5F"/>
        </w:rPr>
        <w:t xml:space="preserve">5.1 </w:t>
      </w:r>
      <w:r>
        <w:rPr>
          <w:rFonts w:eastAsia="Georgia"/>
          <w:b/>
          <w:bCs/>
          <w:color w:val="1F3A5F"/>
        </w:rPr>
        <w:t>Key Findings</w:t>
      </w:r>
      <w:r w:rsidRPr="0041421A">
        <w:rPr>
          <w:rFonts w:eastAsia="Georgia"/>
          <w:b/>
          <w:bCs/>
          <w:color w:val="1F3A5F"/>
        </w:rPr>
        <w:t xml:space="preserve"> </w:t>
      </w:r>
      <w:r>
        <w:rPr>
          <w:rFonts w:eastAsia="Georgia"/>
          <w:b/>
          <w:bCs/>
          <w:color w:val="1F3A5F"/>
        </w:rPr>
        <w:t>&amp; Recommendations</w:t>
      </w:r>
      <w:bookmarkEnd w:id="744"/>
    </w:p>
    <w:p w14:paraId="498CABB1" w14:textId="1AE292F6" w:rsidR="000600AB" w:rsidRDefault="00B82DC7" w:rsidP="000600AB">
      <w:pPr>
        <w:tabs>
          <w:tab w:val="num" w:pos="720"/>
        </w:tabs>
        <w:spacing w:before="120" w:after="120"/>
      </w:pPr>
      <w:r>
        <w:t xml:space="preserve">DER </w:t>
      </w:r>
      <w:r w:rsidR="00DE219A">
        <w:t>Task Force</w:t>
      </w:r>
      <w:r w:rsidR="000600AB" w:rsidRPr="004C313F">
        <w:t xml:space="preserve"> </w:t>
      </w:r>
      <w:r>
        <w:t>findings and</w:t>
      </w:r>
      <w:r w:rsidR="000600AB" w:rsidRPr="004C313F">
        <w:t xml:space="preserve"> </w:t>
      </w:r>
      <w:r w:rsidR="000600AB">
        <w:t>recommendations</w:t>
      </w:r>
      <w:r w:rsidR="000600AB" w:rsidRPr="004C313F">
        <w:t xml:space="preserve"> </w:t>
      </w:r>
      <w:r w:rsidR="000600AB">
        <w:t>were</w:t>
      </w:r>
      <w:r w:rsidR="000600AB" w:rsidRPr="004C313F">
        <w:t xml:space="preserve"> </w:t>
      </w:r>
      <w:r w:rsidR="00EE07B0">
        <w:t>developed</w:t>
      </w:r>
      <w:r w:rsidR="000600AB" w:rsidRPr="004C313F">
        <w:t xml:space="preserve"> using two </w:t>
      </w:r>
      <w:r w:rsidR="00AA31F3">
        <w:t>parallel</w:t>
      </w:r>
      <w:r w:rsidR="000600AB" w:rsidRPr="004C313F">
        <w:t xml:space="preserve"> methods</w:t>
      </w:r>
      <w:r w:rsidR="00AA31F3">
        <w:t xml:space="preserve"> </w:t>
      </w:r>
      <w:r w:rsidR="00564822">
        <w:t>for gathering</w:t>
      </w:r>
      <w:r w:rsidR="00AA31F3">
        <w:t xml:space="preserve"> </w:t>
      </w:r>
      <w:r w:rsidR="00E04456">
        <w:t>stakeholder input</w:t>
      </w:r>
      <w:r w:rsidR="000600AB">
        <w:t>:</w:t>
      </w:r>
    </w:p>
    <w:p w14:paraId="346FB72C" w14:textId="6B7244D5" w:rsidR="000600AB" w:rsidRDefault="009C1455" w:rsidP="000600AB">
      <w:pPr>
        <w:pStyle w:val="ListParagraph"/>
        <w:numPr>
          <w:ilvl w:val="0"/>
          <w:numId w:val="145"/>
        </w:numPr>
        <w:tabs>
          <w:tab w:val="num" w:pos="720"/>
        </w:tabs>
        <w:spacing w:before="120" w:after="120"/>
      </w:pPr>
      <w:r>
        <w:rPr>
          <w:b/>
          <w:bCs/>
        </w:rPr>
        <w:t>Interviews and f</w:t>
      </w:r>
      <w:r w:rsidR="005E0CA4" w:rsidRPr="005E0CA4">
        <w:rPr>
          <w:b/>
          <w:bCs/>
        </w:rPr>
        <w:t>ree form questions</w:t>
      </w:r>
      <w:r w:rsidR="005E0CA4">
        <w:t xml:space="preserve">: </w:t>
      </w:r>
      <w:r w:rsidR="000600AB">
        <w:t>Individual discussions</w:t>
      </w:r>
      <w:r w:rsidR="000600AB" w:rsidRPr="004C313F">
        <w:t xml:space="preserve"> with </w:t>
      </w:r>
      <w:r w:rsidR="0002166C">
        <w:t>Task Force</w:t>
      </w:r>
      <w:r w:rsidR="000600AB" w:rsidRPr="004C313F">
        <w:t xml:space="preserve"> members</w:t>
      </w:r>
      <w:r w:rsidR="00056175">
        <w:t xml:space="preserve"> and </w:t>
      </w:r>
      <w:r w:rsidR="008E51E2">
        <w:t xml:space="preserve">policy leaders in </w:t>
      </w:r>
      <w:r w:rsidR="00CF691C">
        <w:t>peer states</w:t>
      </w:r>
      <w:r w:rsidR="000600AB" w:rsidRPr="004C313F">
        <w:t xml:space="preserve">, </w:t>
      </w:r>
      <w:r w:rsidR="00C21270">
        <w:t xml:space="preserve">verbal feedback captured during </w:t>
      </w:r>
      <w:r w:rsidR="000600AB">
        <w:t>listening sessions for the industry and general public</w:t>
      </w:r>
      <w:r w:rsidR="000600AB" w:rsidRPr="004C313F">
        <w:t xml:space="preserve">, </w:t>
      </w:r>
      <w:r w:rsidR="00016482">
        <w:t>Task Force meetings,</w:t>
      </w:r>
      <w:r w:rsidR="000600AB" w:rsidRPr="004C313F">
        <w:t xml:space="preserve"> and written questions </w:t>
      </w:r>
      <w:r w:rsidR="000600AB">
        <w:t>requesting member expertise on the</w:t>
      </w:r>
      <w:r w:rsidR="000600AB" w:rsidRPr="004C313F">
        <w:t xml:space="preserve"> </w:t>
      </w:r>
      <w:r w:rsidR="000600AB" w:rsidRPr="000600AB">
        <w:rPr>
          <w:b/>
          <w:bCs/>
        </w:rPr>
        <w:t>greatest opportunities</w:t>
      </w:r>
      <w:r w:rsidR="000600AB" w:rsidRPr="004C313F">
        <w:t xml:space="preserve"> and </w:t>
      </w:r>
      <w:r w:rsidR="000600AB" w:rsidRPr="000600AB">
        <w:rPr>
          <w:b/>
          <w:bCs/>
        </w:rPr>
        <w:t>greatest challenges</w:t>
      </w:r>
      <w:r w:rsidR="000600AB" w:rsidRPr="004C313F">
        <w:t xml:space="preserve"> for DER</w:t>
      </w:r>
      <w:r w:rsidR="002910F1">
        <w:t xml:space="preserve"> deployment</w:t>
      </w:r>
      <w:r w:rsidR="000600AB" w:rsidRPr="004C313F">
        <w:t xml:space="preserve"> and VPP</w:t>
      </w:r>
      <w:r w:rsidR="002910F1">
        <w:t xml:space="preserve"> aggregation</w:t>
      </w:r>
      <w:r w:rsidR="000600AB" w:rsidRPr="004C313F">
        <w:t xml:space="preserve"> in the Commonwealth. </w:t>
      </w:r>
    </w:p>
    <w:p w14:paraId="0BEFB74E" w14:textId="23794EA5" w:rsidR="000600AB" w:rsidRPr="004C313F" w:rsidRDefault="003566CE" w:rsidP="000600AB">
      <w:pPr>
        <w:pStyle w:val="ListParagraph"/>
        <w:numPr>
          <w:ilvl w:val="0"/>
          <w:numId w:val="145"/>
        </w:numPr>
        <w:tabs>
          <w:tab w:val="num" w:pos="720"/>
        </w:tabs>
        <w:spacing w:before="120" w:after="120"/>
      </w:pPr>
      <w:r>
        <w:rPr>
          <w:b/>
          <w:bCs/>
        </w:rPr>
        <w:t xml:space="preserve">Policy </w:t>
      </w:r>
      <w:r w:rsidR="000D7B68">
        <w:rPr>
          <w:b/>
          <w:bCs/>
        </w:rPr>
        <w:t>S</w:t>
      </w:r>
      <w:r w:rsidR="000600AB" w:rsidRPr="005E0CA4">
        <w:rPr>
          <w:b/>
          <w:bCs/>
        </w:rPr>
        <w:t>urveys</w:t>
      </w:r>
      <w:r w:rsidR="00AB4725">
        <w:rPr>
          <w:b/>
          <w:bCs/>
        </w:rPr>
        <w:t xml:space="preserve">: </w:t>
      </w:r>
      <w:r w:rsidR="000D7B68">
        <w:t>Structured questions</w:t>
      </w:r>
      <w:r w:rsidR="000600AB" w:rsidRPr="004C313F">
        <w:t xml:space="preserve"> requesting the Task Force </w:t>
      </w:r>
      <w:r w:rsidR="000600AB" w:rsidRPr="000600AB">
        <w:rPr>
          <w:b/>
          <w:bCs/>
        </w:rPr>
        <w:t>prioritize discreet VPP enabling policies</w:t>
      </w:r>
      <w:r w:rsidR="000600AB" w:rsidRPr="004C313F">
        <w:t xml:space="preserve"> to determine Virginia’s current </w:t>
      </w:r>
      <w:r w:rsidR="003E5BF1">
        <w:t xml:space="preserve">VPP policy </w:t>
      </w:r>
      <w:r w:rsidR="000600AB" w:rsidRPr="004C313F">
        <w:t>readiness level and potential implementation sequencing.</w:t>
      </w:r>
      <w:r w:rsidR="00C31335">
        <w:t xml:space="preserve"> </w:t>
      </w:r>
      <w:r w:rsidR="00AD5A36" w:rsidRPr="00AD5A36">
        <w:rPr>
          <w:i/>
          <w:iCs/>
        </w:rPr>
        <w:t>See Section 5.2 for a</w:t>
      </w:r>
      <w:r w:rsidR="00AE465B">
        <w:rPr>
          <w:i/>
          <w:iCs/>
        </w:rPr>
        <w:t xml:space="preserve"> more detailed</w:t>
      </w:r>
      <w:r w:rsidR="00AD5A36" w:rsidRPr="00AD5A36">
        <w:rPr>
          <w:i/>
          <w:iCs/>
        </w:rPr>
        <w:t xml:space="preserve"> overview of this </w:t>
      </w:r>
      <w:r w:rsidR="00773AF9">
        <w:rPr>
          <w:i/>
          <w:iCs/>
        </w:rPr>
        <w:t>exercise</w:t>
      </w:r>
      <w:r w:rsidR="00AD5A36" w:rsidRPr="00AD5A36">
        <w:rPr>
          <w:i/>
          <w:iCs/>
        </w:rPr>
        <w:t>.</w:t>
      </w:r>
    </w:p>
    <w:p w14:paraId="37B0EBF9" w14:textId="57500615" w:rsidR="000600AB" w:rsidRPr="000600AB" w:rsidRDefault="000600AB" w:rsidP="000600AB">
      <w:pPr>
        <w:spacing w:before="120" w:after="120"/>
      </w:pPr>
      <w:r w:rsidRPr="004C313F">
        <w:t xml:space="preserve">While there were natural overlaps between Task Force inputs provided for #1 and #2, this </w:t>
      </w:r>
      <w:r w:rsidR="006C70AA">
        <w:t>dual</w:t>
      </w:r>
      <w:r w:rsidRPr="004C313F">
        <w:t xml:space="preserve"> approach allowed </w:t>
      </w:r>
      <w:r w:rsidR="00E61430">
        <w:t>the</w:t>
      </w:r>
      <w:r w:rsidR="007E76BB">
        <w:t xml:space="preserve"> Task Force</w:t>
      </w:r>
      <w:r w:rsidRPr="004C313F">
        <w:t xml:space="preserve"> to capture </w:t>
      </w:r>
      <w:r w:rsidR="00464DC3">
        <w:t>the full breadth of</w:t>
      </w:r>
      <w:r w:rsidRPr="004C313F">
        <w:t xml:space="preserve"> </w:t>
      </w:r>
      <w:r w:rsidR="00E440DB">
        <w:t>relevant topics from</w:t>
      </w:r>
      <w:r w:rsidRPr="004C313F">
        <w:t xml:space="preserve"> members</w:t>
      </w:r>
      <w:r w:rsidR="00255756">
        <w:t xml:space="preserve">, </w:t>
      </w:r>
      <w:r w:rsidRPr="004C313F">
        <w:t>who represent a range of diverse industry perspectives</w:t>
      </w:r>
      <w:r w:rsidR="00255756">
        <w:t>,</w:t>
      </w:r>
      <w:r w:rsidRPr="004C313F">
        <w:t xml:space="preserve"> while </w:t>
      </w:r>
      <w:r w:rsidR="00D07178">
        <w:t>also</w:t>
      </w:r>
      <w:r w:rsidRPr="004C313F">
        <w:t xml:space="preserve"> ensuring </w:t>
      </w:r>
      <w:r w:rsidR="00D07178">
        <w:t>it</w:t>
      </w:r>
      <w:r w:rsidRPr="004C313F">
        <w:t xml:space="preserve"> received requisite, targeted input on a set of known VPP enabling policies</w:t>
      </w:r>
      <w:r w:rsidR="008877AC">
        <w:t>.</w:t>
      </w:r>
      <w:r w:rsidR="00AD5A36">
        <w:t xml:space="preserve"> </w:t>
      </w:r>
    </w:p>
    <w:p w14:paraId="36A6F379" w14:textId="77777777" w:rsidR="00374BC6" w:rsidRPr="00A236EA" w:rsidRDefault="00374BC6" w:rsidP="00374BC6">
      <w:pPr>
        <w:pStyle w:val="ListParagraph"/>
        <w:ind w:left="720"/>
        <w:rPr>
          <w:rFonts w:eastAsia="Georgia"/>
          <w:b/>
          <w:bCs/>
          <w:color w:val="3D4A5C"/>
          <w:sz w:val="23"/>
          <w:szCs w:val="23"/>
        </w:rPr>
      </w:pPr>
    </w:p>
    <w:p w14:paraId="3DD74305" w14:textId="77777777" w:rsidR="00374BC6" w:rsidRPr="00687207" w:rsidRDefault="00374BC6" w:rsidP="00374BC6">
      <w:pPr>
        <w:pStyle w:val="Heading2"/>
        <w:shd w:val="clear" w:color="auto" w:fill="E97132" w:themeFill="accent2"/>
        <w:rPr>
          <w:b/>
          <w:color w:val="FFFFFF" w:themeColor="background1"/>
        </w:rPr>
      </w:pPr>
      <w:bookmarkStart w:id="745" w:name="_Toc239862901"/>
      <w:r w:rsidRPr="00687207">
        <w:rPr>
          <w:b/>
          <w:color w:val="FFFFFF" w:themeColor="background1"/>
        </w:rPr>
        <w:t>Cross-Cutting</w:t>
      </w:r>
      <w:bookmarkEnd w:id="745"/>
      <w:r w:rsidRPr="00687207">
        <w:rPr>
          <w:b/>
          <w:color w:val="FFFFFF" w:themeColor="background1"/>
        </w:rPr>
        <w:t xml:space="preserve"> </w:t>
      </w:r>
    </w:p>
    <w:p w14:paraId="0632FD66" w14:textId="77777777" w:rsidR="00374BC6" w:rsidRDefault="00374BC6" w:rsidP="00374BC6"/>
    <w:p w14:paraId="5DABE920" w14:textId="71BEA59C" w:rsidR="00090DDB" w:rsidRDefault="00374BC6" w:rsidP="00CE2521">
      <w:pPr>
        <w:pStyle w:val="Heading3"/>
        <w:spacing w:after="240"/>
      </w:pPr>
      <w:bookmarkStart w:id="746" w:name="_Toc239862902"/>
      <w:r w:rsidRPr="00CE2521">
        <w:rPr>
          <w:b/>
        </w:rPr>
        <w:t xml:space="preserve">Recommendation </w:t>
      </w:r>
      <w:r w:rsidR="00773408" w:rsidRPr="00CE2521">
        <w:rPr>
          <w:b/>
        </w:rPr>
        <w:t>1</w:t>
      </w:r>
      <w:r w:rsidRPr="00CE2521">
        <w:rPr>
          <w:b/>
        </w:rPr>
        <w:t xml:space="preserve">: Pursue an Integrated, Systems-based </w:t>
      </w:r>
      <w:r w:rsidR="00CB5BB3" w:rsidRPr="00CE2521">
        <w:rPr>
          <w:b/>
        </w:rPr>
        <w:t xml:space="preserve">DER </w:t>
      </w:r>
      <w:r w:rsidRPr="00CE2521">
        <w:rPr>
          <w:b/>
        </w:rPr>
        <w:t xml:space="preserve">Strategy with Necessary </w:t>
      </w:r>
      <w:r w:rsidR="009A42BE" w:rsidRPr="00CE2521">
        <w:rPr>
          <w:b/>
        </w:rPr>
        <w:t xml:space="preserve">State </w:t>
      </w:r>
      <w:r w:rsidRPr="00CE2521">
        <w:rPr>
          <w:b/>
        </w:rPr>
        <w:t>Implementation Capacity</w:t>
      </w:r>
      <w:bookmarkEnd w:id="746"/>
      <w:r w:rsidRPr="00CE2521">
        <w:rPr>
          <w:b/>
        </w:rPr>
        <w:t xml:space="preserve"> </w:t>
      </w:r>
    </w:p>
    <w:p w14:paraId="6CBAD62F" w14:textId="77777777" w:rsidR="00374BC6" w:rsidRDefault="00374BC6" w:rsidP="00D459B9">
      <w:pPr>
        <w:spacing w:before="120" w:after="120"/>
      </w:pPr>
      <w:r w:rsidRPr="00766666">
        <w:rPr>
          <w:b/>
          <w:bCs/>
        </w:rPr>
        <w:t xml:space="preserve">Finding: </w:t>
      </w:r>
      <w:r w:rsidRPr="00766666">
        <w:t xml:space="preserve">As noted in Section </w:t>
      </w:r>
      <w:r w:rsidR="004D2F80">
        <w:t>4</w:t>
      </w:r>
      <w:r>
        <w:t xml:space="preserve">, </w:t>
      </w:r>
      <w:r w:rsidRPr="00D61F11">
        <w:t>Virginia has established important foundations for DER deployment and aggregation—including net energy metering, shared solar, energy-efficiency and demand-response programs, storage and distributed-generation targets, grid-utilization requirements, interconnection reforms, large-load flexibility legislation, and utility VPP pilots</w:t>
      </w:r>
      <w:r>
        <w:t xml:space="preserve">. However, Task Force members and stakeholders noted that </w:t>
      </w:r>
      <w:r w:rsidRPr="00D61F11">
        <w:t>these efforts were generally developed for distinct purposes and do not yet operate as a unified statewide DER strategy</w:t>
      </w:r>
      <w:r>
        <w:t xml:space="preserve">, </w:t>
      </w:r>
      <w:r w:rsidRPr="00D61F11">
        <w:t>consistently emphasiz</w:t>
      </w:r>
      <w:r>
        <w:t xml:space="preserve">ing </w:t>
      </w:r>
      <w:r w:rsidRPr="00D61F11">
        <w:t>that deployment, customer access, interconnection, compensation, data, utility planning, resilience, and VPP participation are interdependent</w:t>
      </w:r>
      <w:r>
        <w:t xml:space="preserve"> and need to </w:t>
      </w:r>
      <w:r w:rsidR="00A36DA1">
        <w:t>be</w:t>
      </w:r>
      <w:r>
        <w:t xml:space="preserve"> addressed through holistic strategies. </w:t>
      </w:r>
      <w:r w:rsidRPr="00D61F11">
        <w:t>VPPs cannot scale without a larger base of deployable resources, while customers and public entities will not invest if financing, permitting, interconnection, data access, and compensation pathways remain uncertain.</w:t>
      </w:r>
    </w:p>
    <w:p w14:paraId="3F9EF886" w14:textId="626031EF" w:rsidR="00374BC6" w:rsidRDefault="00374BC6" w:rsidP="00D459B9">
      <w:pPr>
        <w:spacing w:before="120" w:after="120"/>
      </w:pPr>
      <w:r w:rsidRPr="00E17AEE">
        <w:t>A fragmented approach risks solving individual problems without creating a durable market.</w:t>
      </w:r>
      <w:r>
        <w:t xml:space="preserve"> </w:t>
      </w:r>
      <w:r w:rsidRPr="00E17AEE">
        <w:t>Industry stakeholders, public commenters, local</w:t>
      </w:r>
      <w:r w:rsidR="0039547E">
        <w:t xml:space="preserve"> </w:t>
      </w:r>
      <w:r w:rsidRPr="00E17AEE">
        <w:t>government participants, Task Force members, and Dominion Energy broadly supported building on existing programs and proceedings through a coordinated, phased approach—while differing on the appropriate balance of incentives, utility programs, market mechanisms, and mandates</w:t>
      </w:r>
      <w:r>
        <w:t xml:space="preserve">, as further discussed throughout this section. </w:t>
      </w:r>
      <w:r w:rsidRPr="005B181D">
        <w:t xml:space="preserve">Overall, taking an integrated, systems-based approach can help Virginia ensure that progress </w:t>
      </w:r>
      <w:r>
        <w:t xml:space="preserve">is being made in all critical enabling areas and that progress </w:t>
      </w:r>
      <w:r w:rsidRPr="005B181D">
        <w:t xml:space="preserve">in one area—such as </w:t>
      </w:r>
      <w:r>
        <w:t>compensation models</w:t>
      </w:r>
      <w:r w:rsidRPr="005B181D">
        <w:t>, interconnection reform, data access, utility planning, or VPP program development—reinforces rather than undermines progress in the others, creating a durable foundation for DERs to deliver measurable affordability, reliability, resilience, and customer benefits at scale.</w:t>
      </w:r>
    </w:p>
    <w:p w14:paraId="50B0F31D" w14:textId="77777777" w:rsidR="00374BC6" w:rsidRDefault="00374BC6" w:rsidP="00D459B9">
      <w:pPr>
        <w:spacing w:before="120" w:after="120"/>
      </w:pPr>
      <w:r>
        <w:t xml:space="preserve">Task Force members and utility stakeholders noted how existing </w:t>
      </w:r>
      <w:r w:rsidRPr="000A4F71">
        <w:t xml:space="preserve">utility </w:t>
      </w:r>
      <w:r>
        <w:t>VPP</w:t>
      </w:r>
      <w:r w:rsidRPr="000A4F71">
        <w:t xml:space="preserve"> pilots </w:t>
      </w:r>
      <w:r>
        <w:t xml:space="preserve">being conducted by </w:t>
      </w:r>
      <w:r w:rsidRPr="000A4F71">
        <w:t>Dominion and APCo</w:t>
      </w:r>
      <w:r>
        <w:t xml:space="preserve"> and those recently authorized by legislation for the Commonwealth’s co-ops (HB 562/SB 487)</w:t>
      </w:r>
      <w:r w:rsidRPr="000A4F71">
        <w:t xml:space="preserve"> </w:t>
      </w:r>
      <w:r>
        <w:t>are poised to generate</w:t>
      </w:r>
      <w:r w:rsidRPr="000A4F71">
        <w:t xml:space="preserve"> valuable data that can help inform ongoing policy development, rulemaking/regulatory proceedings, and future VPP programs. </w:t>
      </w:r>
      <w:r>
        <w:t>However, there</w:t>
      </w:r>
      <w:r w:rsidRPr="000A4F71">
        <w:t xml:space="preserve"> is a risk that valuable pilot data from Dominion and APCo </w:t>
      </w:r>
      <w:r>
        <w:t>does not</w:t>
      </w:r>
      <w:r w:rsidRPr="000A4F71">
        <w:t xml:space="preserve"> systematically translate into permanent tariff design or future program scaling</w:t>
      </w:r>
      <w:r>
        <w:t xml:space="preserve">. Establishing </w:t>
      </w:r>
      <w:r w:rsidRPr="000A4F71">
        <w:t>feedback mechanism</w:t>
      </w:r>
      <w:r>
        <w:t xml:space="preserve">s can help enhance the success of these programs and likewise inform any statewide program and policy efforts. </w:t>
      </w:r>
    </w:p>
    <w:p w14:paraId="47A0BA9E" w14:textId="77777777" w:rsidR="00374BC6" w:rsidRDefault="00374BC6" w:rsidP="00D459B9">
      <w:pPr>
        <w:spacing w:before="120" w:after="120"/>
      </w:pPr>
      <w:r>
        <w:t xml:space="preserve">Task Force members and public stakeholders highlighted and supported solutions for </w:t>
      </w:r>
      <w:r w:rsidRPr="007920B0">
        <w:t xml:space="preserve">Virginia </w:t>
      </w:r>
      <w:r>
        <w:t xml:space="preserve">to build </w:t>
      </w:r>
      <w:r w:rsidRPr="007920B0">
        <w:t>enduring institutional capacity to carry this work forward</w:t>
      </w:r>
      <w:r>
        <w:t xml:space="preserve"> to support effective implementation and enabling ongoing development as markets and technologies continue to evolve. </w:t>
      </w:r>
    </w:p>
    <w:p w14:paraId="10E03FB7" w14:textId="498487C0" w:rsidR="00374BC6" w:rsidRDefault="00374BC6" w:rsidP="00D459B9">
      <w:pPr>
        <w:spacing w:before="120" w:after="120"/>
      </w:pPr>
      <w:r w:rsidRPr="00766666">
        <w:rPr>
          <w:b/>
          <w:bCs/>
        </w:rPr>
        <w:t xml:space="preserve">Recommendation: </w:t>
      </w:r>
      <w:r w:rsidRPr="00766666">
        <w:t>Establish enduring state capacity to coordinate DER implementation and maintain an integrated statewide strategy.</w:t>
      </w:r>
      <w:r w:rsidRPr="00B007B7">
        <w:t xml:space="preserve"> The Commonwealth should establish a permanent DER council and </w:t>
      </w:r>
      <w:r w:rsidR="0083145D">
        <w:t xml:space="preserve">ensure </w:t>
      </w:r>
      <w:r w:rsidRPr="00B007B7">
        <w:t xml:space="preserve">coordinated capacity to support implementation of this report’s recommendations and maintain a systems-based DER deployment strategy. This ongoing, implementation-focused state capability </w:t>
      </w:r>
      <w:r w:rsidR="00066585">
        <w:t>would</w:t>
      </w:r>
      <w:r>
        <w:t xml:space="preserve"> </w:t>
      </w:r>
      <w:r w:rsidRPr="00B007B7">
        <w:t xml:space="preserve">convene </w:t>
      </w:r>
      <w:r>
        <w:t xml:space="preserve">key stakeholders, </w:t>
      </w:r>
      <w:r w:rsidRPr="00B007B7">
        <w:t>track progress across related programs and proceedings</w:t>
      </w:r>
      <w:r>
        <w:t xml:space="preserve">, </w:t>
      </w:r>
      <w:r w:rsidRPr="00B007B7">
        <w:t>identify emerging barriers</w:t>
      </w:r>
      <w:r>
        <w:t xml:space="preserve">, </w:t>
      </w:r>
      <w:r w:rsidRPr="00B007B7">
        <w:t xml:space="preserve">and recommend targeted updates as conditions change. </w:t>
      </w:r>
      <w:r w:rsidRPr="00766666">
        <w:rPr>
          <w:b/>
          <w:bCs/>
        </w:rPr>
        <w:t>Actions could include:</w:t>
      </w:r>
      <w:r>
        <w:t xml:space="preserve"> </w:t>
      </w:r>
    </w:p>
    <w:p w14:paraId="05F8F95F" w14:textId="77777777" w:rsidR="00374BC6" w:rsidRDefault="00374BC6" w:rsidP="00D459B9">
      <w:pPr>
        <w:pStyle w:val="ListParagraph"/>
        <w:numPr>
          <w:ilvl w:val="0"/>
          <w:numId w:val="140"/>
        </w:numPr>
        <w:spacing w:before="120" w:after="120"/>
      </w:pPr>
      <w:r w:rsidRPr="00766666">
        <w:rPr>
          <w:b/>
          <w:bCs/>
        </w:rPr>
        <w:t xml:space="preserve">Establish a permanent DER Task Force to oversee statewide </w:t>
      </w:r>
      <w:r w:rsidRPr="00C6316B">
        <w:rPr>
          <w:b/>
          <w:bCs/>
        </w:rPr>
        <w:t>DER and VPP efforts</w:t>
      </w:r>
      <w:r w:rsidRPr="00766666">
        <w:rPr>
          <w:b/>
          <w:bCs/>
        </w:rPr>
        <w:t xml:space="preserve"> and state progress in implementing this report’s recommendations. </w:t>
      </w:r>
      <w:r w:rsidRPr="0096085A">
        <w:t xml:space="preserve">The body </w:t>
      </w:r>
      <w:r>
        <w:t xml:space="preserve">could </w:t>
      </w:r>
      <w:r w:rsidRPr="0096085A">
        <w:t>serve as a practical implementation and coordination forum—not a substitute for SCC decision-making or utility operational authority—and should meet regularly to monitor progress, resolve cross-cutting barriers, and recommend targeted legislative, regulatory, or administrative actions</w:t>
      </w:r>
      <w:r>
        <w:t xml:space="preserve">. </w:t>
      </w:r>
    </w:p>
    <w:p w14:paraId="3B83533B" w14:textId="11A7655D" w:rsidR="00374BC6" w:rsidRDefault="00374BC6" w:rsidP="00D459B9">
      <w:pPr>
        <w:pStyle w:val="ListParagraph"/>
        <w:numPr>
          <w:ilvl w:val="0"/>
          <w:numId w:val="140"/>
        </w:numPr>
        <w:spacing w:before="120" w:after="120"/>
      </w:pPr>
      <w:r w:rsidRPr="00766666">
        <w:rPr>
          <w:b/>
          <w:bCs/>
        </w:rPr>
        <w:t>Direct Virginia Energy to spearhead a coordinated statewide effort</w:t>
      </w:r>
      <w:r>
        <w:t xml:space="preserve"> to implement this report’s recommendations, working with the</w:t>
      </w:r>
      <w:r w:rsidR="009F4A29">
        <w:t xml:space="preserve"> DER Task Force (as relevant),</w:t>
      </w:r>
      <w:r>
        <w:t xml:space="preserve"> SCC, utilities, community organizations, industry, and other stakeholders.  </w:t>
      </w:r>
      <w:r w:rsidRPr="00B007B7">
        <w:t>This capability should build on Virginia Energy’s energy-policy and stakeholder-engagement role while respecting the SCC’s independent regulatory authority and utilities’ operational responsibilities.</w:t>
      </w:r>
      <w:r>
        <w:t xml:space="preserve"> </w:t>
      </w:r>
    </w:p>
    <w:p w14:paraId="381CCE3C" w14:textId="33BC485F" w:rsidR="00374BC6" w:rsidRDefault="00374BC6" w:rsidP="00D459B9">
      <w:pPr>
        <w:pStyle w:val="ListParagraph"/>
        <w:numPr>
          <w:ilvl w:val="0"/>
          <w:numId w:val="140"/>
        </w:numPr>
        <w:spacing w:before="120" w:after="120"/>
      </w:pPr>
      <w:r>
        <w:rPr>
          <w:b/>
          <w:bCs/>
        </w:rPr>
        <w:t>Integrate feedback mechanisms</w:t>
      </w:r>
      <w:r w:rsidRPr="006F68F1">
        <w:t xml:space="preserve"> </w:t>
      </w:r>
      <w:r>
        <w:t>into any ongoing state efforts to ensure lessons learned from existing and future VPP pilot programs</w:t>
      </w:r>
      <w:r w:rsidRPr="00473E1C">
        <w:t xml:space="preserve"> </w:t>
      </w:r>
      <w:r>
        <w:t xml:space="preserve">can </w:t>
      </w:r>
      <w:r w:rsidRPr="00473E1C">
        <w:t xml:space="preserve">directly </w:t>
      </w:r>
      <w:r>
        <w:t xml:space="preserve">inform and support any statewide and </w:t>
      </w:r>
      <w:r w:rsidRPr="00473E1C">
        <w:t xml:space="preserve">permanent </w:t>
      </w:r>
      <w:r>
        <w:t xml:space="preserve">efforts. </w:t>
      </w:r>
    </w:p>
    <w:p w14:paraId="40455854" w14:textId="4B053E1F" w:rsidR="000B2909" w:rsidRDefault="000B2909" w:rsidP="00D459B9">
      <w:pPr>
        <w:pStyle w:val="ListParagraph"/>
        <w:numPr>
          <w:ilvl w:val="0"/>
          <w:numId w:val="140"/>
        </w:numPr>
        <w:spacing w:before="120" w:after="120"/>
      </w:pPr>
      <w:r>
        <w:rPr>
          <w:b/>
          <w:bCs/>
        </w:rPr>
        <w:t xml:space="preserve">Set </w:t>
      </w:r>
      <w:r w:rsidR="009801C4">
        <w:rPr>
          <w:b/>
          <w:bCs/>
        </w:rPr>
        <w:t>aspirational</w:t>
      </w:r>
      <w:r>
        <w:rPr>
          <w:b/>
          <w:bCs/>
        </w:rPr>
        <w:t xml:space="preserve"> statewide VPP aggregation target</w:t>
      </w:r>
      <w:r w:rsidR="009673EA">
        <w:rPr>
          <w:b/>
          <w:bCs/>
        </w:rPr>
        <w:t>s (e.g., 2030, 2035, etc.)</w:t>
      </w:r>
      <w:r w:rsidR="009801C4">
        <w:t xml:space="preserve"> </w:t>
      </w:r>
      <w:r w:rsidR="009673EA">
        <w:t xml:space="preserve">to benchmark </w:t>
      </w:r>
      <w:r w:rsidR="00F5135A">
        <w:t>deployment</w:t>
      </w:r>
      <w:r w:rsidR="009673EA">
        <w:t xml:space="preserve"> progress. The</w:t>
      </w:r>
      <w:r w:rsidR="00DF47BD">
        <w:t>se</w:t>
      </w:r>
      <w:r w:rsidR="009673EA">
        <w:t xml:space="preserve"> targets would </w:t>
      </w:r>
      <w:r w:rsidR="00BC3C6C">
        <w:t>exist</w:t>
      </w:r>
      <w:r w:rsidR="009673EA">
        <w:t xml:space="preserve"> </w:t>
      </w:r>
      <w:r w:rsidR="00692E55">
        <w:t xml:space="preserve">outside of formal utility mandates or </w:t>
      </w:r>
      <w:r w:rsidR="00BC3C6C">
        <w:t xml:space="preserve">any legally mandated </w:t>
      </w:r>
      <w:r w:rsidR="00692E55">
        <w:t>procurement target</w:t>
      </w:r>
      <w:r w:rsidR="00BC3C6C">
        <w:t>, serving to</w:t>
      </w:r>
      <w:r w:rsidR="00F5135A">
        <w:t xml:space="preserve"> help the </w:t>
      </w:r>
      <w:r w:rsidR="00BC3C6C">
        <w:t xml:space="preserve">public and the </w:t>
      </w:r>
      <w:r w:rsidR="00F5135A">
        <w:t>permanent DER Task Force gauge deployment progress against the impact of actions</w:t>
      </w:r>
      <w:r w:rsidR="00BC3C6C">
        <w:t xml:space="preserve"> taken</w:t>
      </w:r>
      <w:r w:rsidR="00F5135A">
        <w:t xml:space="preserve">. </w:t>
      </w:r>
    </w:p>
    <w:p w14:paraId="1E40F72E" w14:textId="77777777" w:rsidR="00E51E3A" w:rsidRDefault="00E51E3A" w:rsidP="00CE2521">
      <w:pPr>
        <w:rPr>
          <w:highlight w:val="cyan"/>
        </w:rPr>
      </w:pPr>
    </w:p>
    <w:p w14:paraId="325764D3" w14:textId="61E5E0BE" w:rsidR="00090DDB" w:rsidRDefault="00E51E3A" w:rsidP="00CE2521">
      <w:pPr>
        <w:pStyle w:val="Heading3"/>
        <w:spacing w:after="240"/>
      </w:pPr>
      <w:bookmarkStart w:id="747" w:name="_Toc239862903"/>
      <w:r w:rsidRPr="00CE2521">
        <w:rPr>
          <w:b/>
        </w:rPr>
        <w:t xml:space="preserve">Recommendation </w:t>
      </w:r>
      <w:r w:rsidR="00C4059B" w:rsidRPr="00CE2521">
        <w:rPr>
          <w:b/>
        </w:rPr>
        <w:t>2</w:t>
      </w:r>
      <w:r w:rsidRPr="00CE2521">
        <w:rPr>
          <w:b/>
        </w:rPr>
        <w:t xml:space="preserve">: </w:t>
      </w:r>
      <w:r w:rsidR="006A6496" w:rsidRPr="00CE2521">
        <w:rPr>
          <w:b/>
        </w:rPr>
        <w:t xml:space="preserve">Leverage </w:t>
      </w:r>
      <w:r w:rsidRPr="00CE2521">
        <w:rPr>
          <w:b/>
        </w:rPr>
        <w:t>Data Centers</w:t>
      </w:r>
      <w:r w:rsidR="006A6496" w:rsidRPr="00CE2521">
        <w:rPr>
          <w:b/>
        </w:rPr>
        <w:t xml:space="preserve"> to Drive DER &amp; VPP Deployment</w:t>
      </w:r>
      <w:bookmarkEnd w:id="747"/>
      <w:r w:rsidR="006A6496" w:rsidRPr="00CE2521">
        <w:rPr>
          <w:b/>
        </w:rPr>
        <w:t xml:space="preserve"> </w:t>
      </w:r>
    </w:p>
    <w:p w14:paraId="68593693" w14:textId="43BE2E19" w:rsidR="00E51E3A" w:rsidRDefault="00E51E3A" w:rsidP="00D459B9">
      <w:pPr>
        <w:spacing w:before="120" w:after="120"/>
      </w:pPr>
      <w:r w:rsidRPr="00CB4BF3">
        <w:rPr>
          <w:b/>
          <w:bCs/>
        </w:rPr>
        <w:t>Finding:</w:t>
      </w:r>
      <w:r>
        <w:t xml:space="preserve"> </w:t>
      </w:r>
      <w:r w:rsidRPr="006445DA">
        <w:t xml:space="preserve">Data centers </w:t>
      </w:r>
      <w:r>
        <w:t>were identified by Task Force members and public stakeholders as</w:t>
      </w:r>
      <w:r w:rsidRPr="006445DA">
        <w:t xml:space="preserve"> a </w:t>
      </w:r>
      <w:r>
        <w:t>significant</w:t>
      </w:r>
      <w:r w:rsidRPr="006445DA">
        <w:t xml:space="preserve"> near-term opportunity for the Commonwealth</w:t>
      </w:r>
      <w:r>
        <w:t xml:space="preserve"> to increase DER adoption</w:t>
      </w:r>
      <w:r w:rsidR="000B50BD">
        <w:t xml:space="preserve"> and aggregation in addition to </w:t>
      </w:r>
      <w:r>
        <w:t>harness flexible load</w:t>
      </w:r>
      <w:r w:rsidR="000B50BD">
        <w:t xml:space="preserve"> onsite for data center facilities. </w:t>
      </w:r>
      <w:r w:rsidRPr="00213200">
        <w:t>Virginia's rapid data center expansion creates major localized capacity constraints and risk of cost-shifting to residential/small commercial customers</w:t>
      </w:r>
      <w:r>
        <w:t>.</w:t>
      </w:r>
      <w:r w:rsidRPr="00213200">
        <w:t xml:space="preserve"> DERs have potential to help meet these needs</w:t>
      </w:r>
      <w:r>
        <w:t xml:space="preserve">; however, </w:t>
      </w:r>
      <w:r w:rsidR="006F51A7">
        <w:t xml:space="preserve">formalizing contract models and </w:t>
      </w:r>
      <w:r>
        <w:t xml:space="preserve">mechanisms, such as the capacity reduction credit proposed by recently passed SB 371, are needed to </w:t>
      </w:r>
      <w:r w:rsidR="006F51A7">
        <w:t xml:space="preserve">enable </w:t>
      </w:r>
      <w:r>
        <w:t>data</w:t>
      </w:r>
      <w:r w:rsidR="006F51A7">
        <w:t xml:space="preserve"> </w:t>
      </w:r>
      <w:r>
        <w:t>center owners to offset their load by directly driving DER adoption.</w:t>
      </w:r>
      <w:r w:rsidR="00944A3A">
        <w:t xml:space="preserve"> </w:t>
      </w:r>
      <w:r w:rsidR="00345961">
        <w:t xml:space="preserve">Data center funding and demand for near-term capacity could help support implementation across the other </w:t>
      </w:r>
      <w:r w:rsidR="008E1EE0">
        <w:t xml:space="preserve">DER and VPP </w:t>
      </w:r>
      <w:r w:rsidR="00345961">
        <w:t xml:space="preserve">strategies and recommendations noted below. </w:t>
      </w:r>
    </w:p>
    <w:p w14:paraId="418FA0F6" w14:textId="3AF7BB3C" w:rsidR="00E51E3A" w:rsidRDefault="00E51E3A" w:rsidP="00D459B9">
      <w:pPr>
        <w:spacing w:before="120" w:after="120"/>
      </w:pPr>
      <w:r w:rsidRPr="0039480B">
        <w:rPr>
          <w:b/>
          <w:bCs/>
        </w:rPr>
        <w:t xml:space="preserve">Recommendation: </w:t>
      </w:r>
      <w:r w:rsidRPr="00BD48EE">
        <w:t xml:space="preserve">Leverage large customer load growth to support DER and market deployments </w:t>
      </w:r>
      <w:r w:rsidR="006B2A93">
        <w:t>–</w:t>
      </w:r>
      <w:r w:rsidRPr="00BD48EE">
        <w:t xml:space="preserve"> including resi</w:t>
      </w:r>
      <w:r>
        <w:t>dential</w:t>
      </w:r>
      <w:r w:rsidRPr="00BD48EE">
        <w:t>, C&amp;I, and other distribution solutions and load VPP aggregation to absorb peak demand.</w:t>
      </w:r>
      <w:r w:rsidRPr="00D328EB">
        <w:t xml:space="preserve"> </w:t>
      </w:r>
      <w:r w:rsidR="00345961">
        <w:rPr>
          <w:b/>
          <w:bCs/>
        </w:rPr>
        <w:t xml:space="preserve">Actions could include: </w:t>
      </w:r>
    </w:p>
    <w:p w14:paraId="3D785D5A" w14:textId="43AFD71A" w:rsidR="00E51E3A" w:rsidRPr="00541EA9" w:rsidRDefault="00345961" w:rsidP="00D459B9">
      <w:pPr>
        <w:pStyle w:val="ListParagraph"/>
        <w:numPr>
          <w:ilvl w:val="0"/>
          <w:numId w:val="21"/>
        </w:numPr>
        <w:spacing w:before="120" w:after="120"/>
      </w:pPr>
      <w:r w:rsidRPr="009E163A">
        <w:rPr>
          <w:b/>
          <w:bCs/>
        </w:rPr>
        <w:t xml:space="preserve">The SCC (and utilities) can ensure </w:t>
      </w:r>
      <w:r w:rsidR="00E51E3A" w:rsidRPr="00CE2521">
        <w:rPr>
          <w:b/>
        </w:rPr>
        <w:t>capacity reduction credit program</w:t>
      </w:r>
      <w:r w:rsidR="00E51E3A" w:rsidRPr="00345961">
        <w:t xml:space="preserve"> outlined in SB 371 </w:t>
      </w:r>
      <w:r w:rsidRPr="00345961">
        <w:t xml:space="preserve">is designed and implemented </w:t>
      </w:r>
      <w:r>
        <w:t xml:space="preserve">in ways that </w:t>
      </w:r>
      <w:r w:rsidR="00E51E3A" w:rsidRPr="00345961">
        <w:t>unlock scalable, data-center funded DER programs.</w:t>
      </w:r>
      <w:r w:rsidR="008E1EE0">
        <w:t xml:space="preserve">  </w:t>
      </w:r>
    </w:p>
    <w:p w14:paraId="4397C4E5" w14:textId="78BC1838" w:rsidR="008E1EE0" w:rsidRPr="00CE2521" w:rsidRDefault="00E51E3A" w:rsidP="00D459B9">
      <w:pPr>
        <w:pStyle w:val="ListParagraph"/>
        <w:numPr>
          <w:ilvl w:val="0"/>
          <w:numId w:val="21"/>
        </w:numPr>
        <w:spacing w:before="120" w:after="120"/>
      </w:pPr>
      <w:r w:rsidRPr="00CE2521">
        <w:rPr>
          <w:b/>
        </w:rPr>
        <w:t>Explore "Bring Your Own Capacity"-style third-party VPP structures</w:t>
      </w:r>
      <w:r w:rsidRPr="00CE2521">
        <w:t xml:space="preserve"> funded by large loads to convert data-center capital into community DER/VPP deployment</w:t>
      </w:r>
      <w:r w:rsidR="008E1EE0" w:rsidRPr="00CE2521">
        <w:t xml:space="preserve">. </w:t>
      </w:r>
    </w:p>
    <w:p w14:paraId="4E9BA1B7" w14:textId="7257D2FA" w:rsidR="008E1EE0" w:rsidRPr="00CE2521" w:rsidRDefault="008E1EE0" w:rsidP="00D459B9">
      <w:pPr>
        <w:pStyle w:val="ListParagraph"/>
        <w:numPr>
          <w:ilvl w:val="0"/>
          <w:numId w:val="21"/>
        </w:numPr>
        <w:spacing w:before="120" w:after="120"/>
      </w:pPr>
      <w:r w:rsidRPr="00CE2521">
        <w:rPr>
          <w:b/>
        </w:rPr>
        <w:t>Pursue DER and VPP deployment models that develop scalable contract models</w:t>
      </w:r>
      <w:r>
        <w:t xml:space="preserve">, such as PJM demand-response models (e.g., Peak Shaving Adjustment mechanisms) and other retail-level VPP PPAs or other models. </w:t>
      </w:r>
    </w:p>
    <w:p w14:paraId="6027B65D" w14:textId="0A650570" w:rsidR="00E51E3A" w:rsidRPr="008E1EE0" w:rsidRDefault="008E1EE0" w:rsidP="00D459B9">
      <w:pPr>
        <w:pStyle w:val="ListParagraph"/>
        <w:numPr>
          <w:ilvl w:val="0"/>
          <w:numId w:val="21"/>
        </w:numPr>
        <w:spacing w:before="120" w:after="120"/>
      </w:pPr>
      <w:r w:rsidRPr="009E163A">
        <w:rPr>
          <w:b/>
          <w:bCs/>
        </w:rPr>
        <w:t xml:space="preserve">The </w:t>
      </w:r>
      <w:r w:rsidRPr="00CE2521">
        <w:rPr>
          <w:b/>
        </w:rPr>
        <w:t xml:space="preserve">Governor and </w:t>
      </w:r>
      <w:r w:rsidRPr="009E163A">
        <w:rPr>
          <w:b/>
          <w:bCs/>
        </w:rPr>
        <w:t xml:space="preserve">General Assembly could </w:t>
      </w:r>
      <w:r w:rsidRPr="00CE2521">
        <w:rPr>
          <w:b/>
          <w:bCs/>
        </w:rPr>
        <w:t>consider</w:t>
      </w:r>
      <w:r w:rsidRPr="00CE2521">
        <w:rPr>
          <w:b/>
        </w:rPr>
        <w:t xml:space="preserve"> </w:t>
      </w:r>
      <w:r w:rsidR="00E51E3A" w:rsidRPr="008E1EE0">
        <w:t>requiring mandatory backup storage or onsite clean energy/DER provisions.</w:t>
      </w:r>
    </w:p>
    <w:p w14:paraId="553A6AC1" w14:textId="77777777" w:rsidR="00AC55B2" w:rsidRDefault="00AC55B2" w:rsidP="00AC55B2"/>
    <w:p w14:paraId="2F075D0C" w14:textId="77777777" w:rsidR="00687207" w:rsidRPr="00FA2B80" w:rsidRDefault="00687207" w:rsidP="00687207">
      <w:pPr>
        <w:pStyle w:val="Heading2"/>
        <w:shd w:val="clear" w:color="auto" w:fill="196B24" w:themeFill="accent3"/>
        <w:rPr>
          <w:b/>
          <w:bCs/>
          <w:color w:val="FFFFFF" w:themeColor="background1"/>
        </w:rPr>
      </w:pPr>
      <w:bookmarkStart w:id="748" w:name="_Toc239862904"/>
      <w:r w:rsidRPr="00FA2B80">
        <w:rPr>
          <w:b/>
          <w:bCs/>
          <w:color w:val="FFFFFF" w:themeColor="background1"/>
        </w:rPr>
        <w:t>DER Market Participation</w:t>
      </w:r>
      <w:r>
        <w:rPr>
          <w:b/>
          <w:bCs/>
          <w:color w:val="FFFFFF" w:themeColor="background1"/>
        </w:rPr>
        <w:t xml:space="preserve"> (VPP Aggregation)</w:t>
      </w:r>
      <w:bookmarkEnd w:id="748"/>
    </w:p>
    <w:p w14:paraId="311E6833" w14:textId="7A67E689" w:rsidR="008E1EE0" w:rsidRDefault="00426A7C" w:rsidP="00D459B9">
      <w:pPr>
        <w:spacing w:before="120" w:after="120"/>
      </w:pPr>
      <w:r>
        <w:t xml:space="preserve">DER </w:t>
      </w:r>
      <w:r w:rsidRPr="00426A7C">
        <w:t xml:space="preserve">aggregation </w:t>
      </w:r>
      <w:r>
        <w:t xml:space="preserve">through VPPs </w:t>
      </w:r>
      <w:r w:rsidRPr="00426A7C">
        <w:t>can strengthen the business case for DER adoption by creating additional, performance-based revenue opportunities for customers, public entities, and developers whose resources provide measurable grid services.</w:t>
      </w:r>
      <w:r>
        <w:t xml:space="preserve"> The findings and recommendations below highlight strategies Virginia can take to support DER aggregation and VPP</w:t>
      </w:r>
      <w:r w:rsidR="00FE2915">
        <w:t xml:space="preserve">s </w:t>
      </w:r>
      <w:r>
        <w:t>to help drive the market forward.</w:t>
      </w:r>
    </w:p>
    <w:p w14:paraId="5892A678" w14:textId="6F876973" w:rsidR="008D1450" w:rsidRPr="00560EEC" w:rsidRDefault="00F768FF" w:rsidP="00D459B9">
      <w:pPr>
        <w:pStyle w:val="Heading3"/>
        <w:spacing w:before="120" w:after="120"/>
      </w:pPr>
      <w:bookmarkStart w:id="749" w:name="_Toc239862905"/>
      <w:r w:rsidRPr="00CE2521">
        <w:rPr>
          <w:b/>
        </w:rPr>
        <w:t xml:space="preserve">Recommendation </w:t>
      </w:r>
      <w:r w:rsidR="00090DDB" w:rsidRPr="00CE2521">
        <w:rPr>
          <w:b/>
        </w:rPr>
        <w:t>3</w:t>
      </w:r>
      <w:r w:rsidRPr="00CE2521">
        <w:rPr>
          <w:b/>
        </w:rPr>
        <w:t xml:space="preserve">: </w:t>
      </w:r>
      <w:r w:rsidR="00604737" w:rsidRPr="00CE2521">
        <w:rPr>
          <w:b/>
        </w:rPr>
        <w:t xml:space="preserve">Establish </w:t>
      </w:r>
      <w:r w:rsidRPr="00CE2521">
        <w:rPr>
          <w:b/>
        </w:rPr>
        <w:t>VPP</w:t>
      </w:r>
      <w:r w:rsidR="00604737" w:rsidRPr="00CE2521">
        <w:rPr>
          <w:b/>
        </w:rPr>
        <w:t>-</w:t>
      </w:r>
      <w:r w:rsidRPr="00CE2521">
        <w:rPr>
          <w:b/>
        </w:rPr>
        <w:t>Enabling Policies</w:t>
      </w:r>
      <w:bookmarkEnd w:id="749"/>
      <w:r w:rsidRPr="00CE2521">
        <w:rPr>
          <w:b/>
        </w:rPr>
        <w:t xml:space="preserve"> </w:t>
      </w:r>
    </w:p>
    <w:p w14:paraId="5775B25C" w14:textId="6D4F12C6" w:rsidR="005D68EC" w:rsidRDefault="00604737" w:rsidP="00D459B9">
      <w:pPr>
        <w:spacing w:before="120" w:after="120"/>
      </w:pPr>
      <w:r>
        <w:rPr>
          <w:b/>
          <w:bCs/>
        </w:rPr>
        <w:t xml:space="preserve">Finding: </w:t>
      </w:r>
      <w:r w:rsidRPr="006D5E35">
        <w:t xml:space="preserve">Virginia has </w:t>
      </w:r>
      <w:r w:rsidR="00630AE8">
        <w:t xml:space="preserve">multiple </w:t>
      </w:r>
      <w:r w:rsidRPr="006D5E35">
        <w:t xml:space="preserve">foundational DER </w:t>
      </w:r>
      <w:r w:rsidR="00630AE8">
        <w:t xml:space="preserve">and VPP supportive legislation and </w:t>
      </w:r>
      <w:r w:rsidRPr="006D5E35">
        <w:t>pilot</w:t>
      </w:r>
      <w:r w:rsidR="00630AE8">
        <w:t xml:space="preserve"> </w:t>
      </w:r>
      <w:r w:rsidRPr="006D5E35">
        <w:t>programs</w:t>
      </w:r>
      <w:r w:rsidR="00393BA0">
        <w:t xml:space="preserve"> </w:t>
      </w:r>
      <w:r w:rsidRPr="006D5E35">
        <w:t xml:space="preserve">but </w:t>
      </w:r>
      <w:r w:rsidR="00365E73">
        <w:t>lacks</w:t>
      </w:r>
      <w:r w:rsidRPr="006D5E35">
        <w:t xml:space="preserve"> common statewide procedures needed for scalable VPP participation. </w:t>
      </w:r>
      <w:r w:rsidR="00630AE8">
        <w:t>A</w:t>
      </w:r>
      <w:r w:rsidR="008410D2">
        <w:t xml:space="preserve">s </w:t>
      </w:r>
      <w:r w:rsidR="00F21DC3">
        <w:t xml:space="preserve">discussed </w:t>
      </w:r>
      <w:r w:rsidR="008410D2">
        <w:t xml:space="preserve">in </w:t>
      </w:r>
      <w:r w:rsidR="008410D2" w:rsidRPr="00926EBC">
        <w:t xml:space="preserve">Table </w:t>
      </w:r>
      <w:r w:rsidR="00926EBC" w:rsidRPr="00926EBC">
        <w:t>2</w:t>
      </w:r>
      <w:r w:rsidR="008410D2">
        <w:t xml:space="preserve"> in Section 5.2, a</w:t>
      </w:r>
      <w:r w:rsidR="00630AE8">
        <w:t xml:space="preserve"> review of Virginia’s current </w:t>
      </w:r>
      <w:r w:rsidR="00853EFA">
        <w:t xml:space="preserve">policy readiness for </w:t>
      </w:r>
      <w:r w:rsidR="008D4A69">
        <w:t>VPP</w:t>
      </w:r>
      <w:r w:rsidR="00853EFA">
        <w:t xml:space="preserve"> </w:t>
      </w:r>
      <w:r w:rsidR="00985DA1">
        <w:t>deployment</w:t>
      </w:r>
      <w:r w:rsidR="00853EFA">
        <w:t xml:space="preserve"> </w:t>
      </w:r>
      <w:r w:rsidR="00D5113C">
        <w:t>shows</w:t>
      </w:r>
      <w:r w:rsidR="00A72144">
        <w:t xml:space="preserve"> </w:t>
      </w:r>
      <w:r w:rsidR="00C90163">
        <w:t xml:space="preserve">that </w:t>
      </w:r>
      <w:r w:rsidR="00E32F6B">
        <w:t xml:space="preserve">the Commonwealth has not </w:t>
      </w:r>
      <w:r w:rsidR="00F21DC3">
        <w:t xml:space="preserve">yet </w:t>
      </w:r>
      <w:r w:rsidR="002078E9">
        <w:t xml:space="preserve">fully </w:t>
      </w:r>
      <w:r w:rsidR="00E32F6B">
        <w:t>addressed</w:t>
      </w:r>
      <w:r w:rsidR="00C90163">
        <w:t xml:space="preserve"> </w:t>
      </w:r>
      <w:r w:rsidR="003D4E43">
        <w:t xml:space="preserve">foundational VPP </w:t>
      </w:r>
      <w:r w:rsidR="00D56FBB">
        <w:t xml:space="preserve">enabling </w:t>
      </w:r>
      <w:r w:rsidR="006007CF">
        <w:t>policies and procedures</w:t>
      </w:r>
      <w:r w:rsidR="004E6F94">
        <w:t xml:space="preserve"> such as</w:t>
      </w:r>
      <w:r w:rsidRPr="006D5E35">
        <w:t xml:space="preserve"> </w:t>
      </w:r>
      <w:r w:rsidR="00A92E9E" w:rsidRPr="00883E90">
        <w:rPr>
          <w:b/>
        </w:rPr>
        <w:t>DER registration</w:t>
      </w:r>
      <w:r w:rsidR="00A92E9E">
        <w:t>,</w:t>
      </w:r>
      <w:r w:rsidRPr="006D5E35">
        <w:t xml:space="preserve"> </w:t>
      </w:r>
      <w:r w:rsidR="00FF533E">
        <w:rPr>
          <w:b/>
          <w:bCs/>
        </w:rPr>
        <w:t xml:space="preserve">data </w:t>
      </w:r>
      <w:r w:rsidR="00160514">
        <w:rPr>
          <w:b/>
          <w:bCs/>
        </w:rPr>
        <w:t>access</w:t>
      </w:r>
      <w:r w:rsidR="00FF533E">
        <w:rPr>
          <w:b/>
          <w:bCs/>
        </w:rPr>
        <w:t xml:space="preserve"> (</w:t>
      </w:r>
      <w:r>
        <w:rPr>
          <w:b/>
        </w:rPr>
        <w:t xml:space="preserve">customer </w:t>
      </w:r>
      <w:r w:rsidR="00160514">
        <w:rPr>
          <w:b/>
          <w:bCs/>
        </w:rPr>
        <w:t xml:space="preserve">data sharing </w:t>
      </w:r>
      <w:r w:rsidR="004138FA">
        <w:rPr>
          <w:b/>
          <w:bCs/>
        </w:rPr>
        <w:t xml:space="preserve">procedures </w:t>
      </w:r>
      <w:r w:rsidR="00160514">
        <w:rPr>
          <w:b/>
          <w:bCs/>
        </w:rPr>
        <w:t>and</w:t>
      </w:r>
      <w:r>
        <w:rPr>
          <w:b/>
        </w:rPr>
        <w:t xml:space="preserve"> </w:t>
      </w:r>
      <w:r w:rsidR="00D07D80">
        <w:rPr>
          <w:b/>
        </w:rPr>
        <w:t>third</w:t>
      </w:r>
      <w:r w:rsidR="00160514">
        <w:rPr>
          <w:b/>
          <w:bCs/>
        </w:rPr>
        <w:t xml:space="preserve"> </w:t>
      </w:r>
      <w:r w:rsidR="00D07D80">
        <w:rPr>
          <w:b/>
        </w:rPr>
        <w:t>party access</w:t>
      </w:r>
      <w:r w:rsidR="00160514">
        <w:rPr>
          <w:b/>
          <w:bCs/>
        </w:rPr>
        <w:t>)</w:t>
      </w:r>
      <w:r w:rsidRPr="006D5E35">
        <w:t xml:space="preserve">, </w:t>
      </w:r>
      <w:r w:rsidR="0082688D" w:rsidRPr="00883E90">
        <w:rPr>
          <w:b/>
        </w:rPr>
        <w:t>consumer protection</w:t>
      </w:r>
      <w:r w:rsidR="006E1220">
        <w:t>,</w:t>
      </w:r>
      <w:r w:rsidR="0082688D">
        <w:t xml:space="preserve"> </w:t>
      </w:r>
      <w:r w:rsidR="004138FA" w:rsidRPr="00220C5B">
        <w:rPr>
          <w:b/>
          <w:bCs/>
        </w:rPr>
        <w:t>dispute resolution</w:t>
      </w:r>
      <w:r w:rsidR="004138FA">
        <w:rPr>
          <w:b/>
          <w:bCs/>
        </w:rPr>
        <w:t>, interconnection,</w:t>
      </w:r>
      <w:r w:rsidR="0082688D">
        <w:t xml:space="preserve"> </w:t>
      </w:r>
      <w:r w:rsidR="004138FA" w:rsidRPr="00220C5B">
        <w:rPr>
          <w:b/>
          <w:bCs/>
        </w:rPr>
        <w:t>cybersecurity</w:t>
      </w:r>
      <w:r w:rsidR="004138FA" w:rsidRPr="006D5E35">
        <w:t>,</w:t>
      </w:r>
      <w:r w:rsidR="004138FA">
        <w:t xml:space="preserve"> </w:t>
      </w:r>
      <w:r w:rsidRPr="00883E90">
        <w:rPr>
          <w:b/>
        </w:rPr>
        <w:t>operational coordination</w:t>
      </w:r>
      <w:r w:rsidRPr="00220C5B">
        <w:rPr>
          <w:b/>
        </w:rPr>
        <w:t xml:space="preserve">, </w:t>
      </w:r>
      <w:r w:rsidR="005C51EC" w:rsidRPr="00220C5B">
        <w:rPr>
          <w:b/>
          <w:bCs/>
        </w:rPr>
        <w:t>dispatch override</w:t>
      </w:r>
      <w:r w:rsidR="005C51EC" w:rsidRPr="006D5E35">
        <w:t xml:space="preserve">, </w:t>
      </w:r>
      <w:r w:rsidRPr="00220C5B">
        <w:rPr>
          <w:b/>
        </w:rPr>
        <w:t>measurement and verification</w:t>
      </w:r>
      <w:r w:rsidRPr="006D5E35">
        <w:t xml:space="preserve">, </w:t>
      </w:r>
      <w:r w:rsidRPr="00220C5B">
        <w:rPr>
          <w:b/>
        </w:rPr>
        <w:t>settlement</w:t>
      </w:r>
      <w:r w:rsidRPr="006D5E35">
        <w:t xml:space="preserve">, </w:t>
      </w:r>
      <w:r w:rsidRPr="00220C5B">
        <w:rPr>
          <w:b/>
        </w:rPr>
        <w:t>dual participation</w:t>
      </w:r>
      <w:r w:rsidR="00220C5B" w:rsidRPr="00220C5B">
        <w:rPr>
          <w:b/>
          <w:bCs/>
        </w:rPr>
        <w:t xml:space="preserve"> rules</w:t>
      </w:r>
      <w:r w:rsidRPr="006D5E35">
        <w:t xml:space="preserve">, </w:t>
      </w:r>
      <w:r w:rsidR="00024E54">
        <w:t>and</w:t>
      </w:r>
      <w:r w:rsidRPr="006D5E35">
        <w:t xml:space="preserve"> </w:t>
      </w:r>
      <w:r w:rsidR="00220C5B" w:rsidRPr="00220C5B">
        <w:rPr>
          <w:b/>
          <w:bCs/>
        </w:rPr>
        <w:t>utility cost recovery</w:t>
      </w:r>
      <w:r w:rsidRPr="006D5E35">
        <w:t xml:space="preserve">. </w:t>
      </w:r>
      <w:r w:rsidR="00013A14" w:rsidRPr="00481F13">
        <w:t xml:space="preserve">Task Force members, industry stakeholders, public commenters, and </w:t>
      </w:r>
      <w:r w:rsidR="00013A14">
        <w:t xml:space="preserve">utilities input </w:t>
      </w:r>
      <w:r w:rsidR="00013A14" w:rsidRPr="00481F13">
        <w:t xml:space="preserve">broadly </w:t>
      </w:r>
      <w:r w:rsidR="00013A14">
        <w:t>noted that e</w:t>
      </w:r>
      <w:r w:rsidR="00283B8F">
        <w:t>stablishing a common statewide approach</w:t>
      </w:r>
      <w:r w:rsidR="00136788">
        <w:t xml:space="preserve"> </w:t>
      </w:r>
      <w:r w:rsidR="008B45B6">
        <w:t>across key</w:t>
      </w:r>
      <w:r w:rsidR="00D0505D">
        <w:t xml:space="preserve"> VPP enabling</w:t>
      </w:r>
      <w:r w:rsidR="00136788">
        <w:t xml:space="preserve"> policy topics </w:t>
      </w:r>
      <w:r w:rsidR="00013A14">
        <w:t>can</w:t>
      </w:r>
      <w:r w:rsidR="00136788">
        <w:t xml:space="preserve"> support Virginia’s transition to scalable, permanent VPP programs—building on ongoing and forthcoming </w:t>
      </w:r>
      <w:r w:rsidR="00013A14">
        <w:t xml:space="preserve">utility VPP </w:t>
      </w:r>
      <w:r w:rsidR="00136788">
        <w:t xml:space="preserve">pilots. </w:t>
      </w:r>
    </w:p>
    <w:p w14:paraId="6E0A2849" w14:textId="28869B6D" w:rsidR="008D2A24" w:rsidRDefault="008D2A24" w:rsidP="00D459B9">
      <w:pPr>
        <w:spacing w:before="120" w:after="120"/>
      </w:pPr>
      <w:r>
        <w:t xml:space="preserve">As further discussed in Section 5.2, </w:t>
      </w:r>
      <w:r w:rsidRPr="002F11F7">
        <w:t>the Task Force used a structured VPP prioritization process that considered the grid service to be provided, participating DER technologies, and the business model through which each service would be procured and compensated. That process identified three initial priority VPP applications for Virginia: utility-administered distribution peak shaving; data-center/large-load</w:t>
      </w:r>
      <w:r w:rsidR="00F21DC3">
        <w:t xml:space="preserve">-VPP models; </w:t>
      </w:r>
      <w:r w:rsidRPr="002F11F7">
        <w:t>and</w:t>
      </w:r>
      <w:r w:rsidR="00F21DC3">
        <w:t xml:space="preserve"> </w:t>
      </w:r>
      <w:r w:rsidRPr="002F11F7">
        <w:t>behind-the-meter storage aggregation for PJM capacity-market participation</w:t>
      </w:r>
      <w:r w:rsidR="00F21DC3">
        <w:t xml:space="preserve"> deployed over time</w:t>
      </w:r>
      <w:r w:rsidRPr="002F11F7">
        <w:t xml:space="preserve"> under FERC Order No. 2222. The process also identified the core policy topics needed to make these </w:t>
      </w:r>
      <w:r>
        <w:t xml:space="preserve">VPP </w:t>
      </w:r>
      <w:r w:rsidRPr="002F11F7">
        <w:t xml:space="preserve">applications viable, while recognizing that </w:t>
      </w:r>
      <w:r>
        <w:t xml:space="preserve">the policy topics needed to enable </w:t>
      </w:r>
      <w:r w:rsidRPr="002F11F7">
        <w:t xml:space="preserve">other VPP models—including non-wires alternatives, vehicle-to-grid applications, third-party </w:t>
      </w:r>
      <w:r>
        <w:t>aggregations</w:t>
      </w:r>
      <w:r w:rsidRPr="002F11F7">
        <w:t>, and utility-controlled DERs—</w:t>
      </w:r>
      <w:r>
        <w:t xml:space="preserve">can also be developed </w:t>
      </w:r>
      <w:r w:rsidRPr="002F11F7">
        <w:t>as Virginia’s market and policy framework matures.</w:t>
      </w:r>
      <w:r>
        <w:t xml:space="preserve"> </w:t>
      </w:r>
    </w:p>
    <w:p w14:paraId="5B35F679" w14:textId="0A334304" w:rsidR="00604737" w:rsidRDefault="00604737" w:rsidP="00D459B9">
      <w:pPr>
        <w:spacing w:before="120" w:after="120"/>
      </w:pPr>
      <w:r w:rsidRPr="00C7401D">
        <w:rPr>
          <w:i/>
          <w:iCs/>
        </w:rPr>
        <w:t xml:space="preserve">See Section </w:t>
      </w:r>
      <w:r w:rsidR="005D68EC">
        <w:rPr>
          <w:i/>
          <w:iCs/>
        </w:rPr>
        <w:t>5.2</w:t>
      </w:r>
      <w:r w:rsidRPr="00C7401D">
        <w:rPr>
          <w:i/>
          <w:iCs/>
        </w:rPr>
        <w:t xml:space="preserve"> for the VPP prioritization methodology, priority VPP types, Tier 1 enabling policy topics, current-state assessment, and </w:t>
      </w:r>
      <w:r w:rsidR="005D68EC">
        <w:rPr>
          <w:i/>
          <w:iCs/>
        </w:rPr>
        <w:t>a preliminary assessment of the minimum viable policy readiness level to achieve</w:t>
      </w:r>
      <w:r w:rsidRPr="00C7401D">
        <w:rPr>
          <w:i/>
          <w:iCs/>
        </w:rPr>
        <w:t>.</w:t>
      </w:r>
    </w:p>
    <w:p w14:paraId="21A59B90" w14:textId="7F46E4CA" w:rsidR="00481F13" w:rsidRPr="00D459B9" w:rsidRDefault="00020734" w:rsidP="00D459B9">
      <w:pPr>
        <w:spacing w:before="120" w:after="120"/>
      </w:pPr>
      <w:r>
        <w:t>DER customer d</w:t>
      </w:r>
      <w:r w:rsidRPr="006445DA">
        <w:t xml:space="preserve">ata access </w:t>
      </w:r>
      <w:r>
        <w:t xml:space="preserve">was particularly noted as </w:t>
      </w:r>
      <w:r w:rsidRPr="006445DA">
        <w:t>a persistent operational barrier</w:t>
      </w:r>
      <w:r>
        <w:t xml:space="preserve"> for aggregators</w:t>
      </w:r>
      <w:r w:rsidRPr="006445DA">
        <w:t xml:space="preserve">. </w:t>
      </w:r>
      <w:r>
        <w:t>DER aggregators seeking to enroll systems in VPPs currently</w:t>
      </w:r>
      <w:r w:rsidRPr="006445DA">
        <w:t xml:space="preserve"> </w:t>
      </w:r>
      <w:r>
        <w:t>l</w:t>
      </w:r>
      <w:r w:rsidRPr="006445DA">
        <w:t xml:space="preserve">ack </w:t>
      </w:r>
      <w:r>
        <w:t>access</w:t>
      </w:r>
      <w:r w:rsidRPr="006445DA">
        <w:t xml:space="preserve"> </w:t>
      </w:r>
      <w:r>
        <w:t xml:space="preserve">to </w:t>
      </w:r>
      <w:r w:rsidRPr="006445DA">
        <w:t xml:space="preserve">standardized, secure customer </w:t>
      </w:r>
      <w:r>
        <w:t>DER</w:t>
      </w:r>
      <w:r w:rsidRPr="006445DA">
        <w:t xml:space="preserve"> </w:t>
      </w:r>
      <w:r>
        <w:t>data from utilities, which impedes wholesale market access, with the exception of very large DERs whose aggregation value is worth the cost of additional metering hardware or the manual efforts currently required to procure necessary data. This</w:t>
      </w:r>
      <w:r w:rsidRPr="006445DA">
        <w:t xml:space="preserve"> </w:t>
      </w:r>
      <w:r>
        <w:t>largely prevents</w:t>
      </w:r>
      <w:r w:rsidRPr="006445DA">
        <w:t xml:space="preserve"> VPP enrollment, dynamic dispatch, and settlement</w:t>
      </w:r>
      <w:r>
        <w:t xml:space="preserve"> processes, generally suppressing aggregation</w:t>
      </w:r>
      <w:r w:rsidRPr="006445DA">
        <w:t>.</w:t>
      </w:r>
      <w:r>
        <w:t xml:space="preserve"> </w:t>
      </w:r>
      <w:r w:rsidR="00C211F1">
        <w:t>Task force discussions pointed to the need to e</w:t>
      </w:r>
      <w:r w:rsidR="00C211F1" w:rsidRPr="00D63F8E">
        <w:t>stablish statewide data access standards (e.g., Green Button Connect or utility EDI/API) to streamline aggregator customer acquisition, measurement, and verification (M&amp;V)</w:t>
      </w:r>
      <w:r w:rsidR="00C211F1" w:rsidRPr="00312EB0">
        <w:t xml:space="preserve">. </w:t>
      </w:r>
      <w:r w:rsidR="00C211F1">
        <w:t>On the grid data side, tools like New York’s Integrated Energy Data Resource (IEDR) tool were highlighted as models to pursue over the long term, building on Dominion’s existing hosting capacity maps to provide a high level of granularity of grid data for all market participants.</w:t>
      </w:r>
    </w:p>
    <w:p w14:paraId="418D4F44" w14:textId="0F984282" w:rsidR="00604737" w:rsidRDefault="00604737" w:rsidP="00D459B9">
      <w:pPr>
        <w:spacing w:before="120" w:after="120"/>
      </w:pPr>
      <w:r w:rsidRPr="00AE27BF">
        <w:rPr>
          <w:b/>
          <w:bCs/>
        </w:rPr>
        <w:t>Recommendation</w:t>
      </w:r>
      <w:r>
        <w:t xml:space="preserve">: </w:t>
      </w:r>
      <w:r w:rsidRPr="00393B31">
        <w:t xml:space="preserve">Establish a statewide minimum VPP-enabling framework. Virginia should establish clear, consistent rules and procedures </w:t>
      </w:r>
      <w:r w:rsidR="007928C0">
        <w:t>for DER aggregation and market participation</w:t>
      </w:r>
      <w:r w:rsidR="004344B8">
        <w:t xml:space="preserve">, including for the key policy topics identified as priority areas to address </w:t>
      </w:r>
      <w:r w:rsidR="00A37133">
        <w:t>discussed in</w:t>
      </w:r>
      <w:r w:rsidR="007928C0">
        <w:t xml:space="preserve"> </w:t>
      </w:r>
      <w:r w:rsidR="00C211F1">
        <w:t xml:space="preserve">Section </w:t>
      </w:r>
      <w:r w:rsidR="004344B8">
        <w:t>5.2</w:t>
      </w:r>
      <w:r w:rsidR="00A37133">
        <w:t xml:space="preserve">. </w:t>
      </w:r>
      <w:r w:rsidRPr="00CE2521">
        <w:rPr>
          <w:b/>
        </w:rPr>
        <w:t>Actions could include</w:t>
      </w:r>
      <w:r>
        <w:t xml:space="preserve">: </w:t>
      </w:r>
    </w:p>
    <w:p w14:paraId="2A4FA3B2" w14:textId="24568CE2" w:rsidR="00604737" w:rsidRDefault="00412588" w:rsidP="00D459B9">
      <w:pPr>
        <w:pStyle w:val="ListParagraph"/>
        <w:numPr>
          <w:ilvl w:val="0"/>
          <w:numId w:val="142"/>
        </w:numPr>
        <w:spacing w:before="120" w:after="120"/>
      </w:pPr>
      <w:r w:rsidRPr="00CE2521">
        <w:rPr>
          <w:b/>
        </w:rPr>
        <w:t xml:space="preserve">Virginia Energy </w:t>
      </w:r>
      <w:r w:rsidR="00023B4B">
        <w:rPr>
          <w:b/>
        </w:rPr>
        <w:t xml:space="preserve">could </w:t>
      </w:r>
      <w:r w:rsidRPr="00CE2521">
        <w:rPr>
          <w:b/>
        </w:rPr>
        <w:t>initiat</w:t>
      </w:r>
      <w:r w:rsidR="00D96902" w:rsidRPr="00CE2521">
        <w:rPr>
          <w:b/>
        </w:rPr>
        <w:t>e</w:t>
      </w:r>
      <w:r w:rsidRPr="00CE2521">
        <w:rPr>
          <w:b/>
        </w:rPr>
        <w:t xml:space="preserve"> a working group</w:t>
      </w:r>
      <w:r>
        <w:t>—with participation from the SCC</w:t>
      </w:r>
      <w:r w:rsidR="00A37133">
        <w:t xml:space="preserve">, utilities </w:t>
      </w:r>
      <w:r>
        <w:t xml:space="preserve">and </w:t>
      </w:r>
      <w:r w:rsidR="00A37133">
        <w:t>coops, and other stakeholders</w:t>
      </w:r>
      <w:r w:rsidR="00E76597">
        <w:t>—</w:t>
      </w:r>
      <w:r w:rsidRPr="00C975B3">
        <w:t xml:space="preserve">to </w:t>
      </w:r>
      <w:r w:rsidR="00752BBA">
        <w:t xml:space="preserve">define </w:t>
      </w:r>
      <w:r w:rsidR="00A37133">
        <w:t xml:space="preserve">a common </w:t>
      </w:r>
      <w:r w:rsidR="00752BBA">
        <w:t>framework across key VPP-enabling policy topics, informed by ongoing</w:t>
      </w:r>
      <w:r w:rsidRPr="00C975B3">
        <w:t xml:space="preserve"> DSM programs and utility VPP </w:t>
      </w:r>
      <w:r>
        <w:t>p</w:t>
      </w:r>
      <w:r w:rsidRPr="00C975B3">
        <w:t>ilots</w:t>
      </w:r>
      <w:r>
        <w:t xml:space="preserve">. </w:t>
      </w:r>
    </w:p>
    <w:p w14:paraId="1856C3E6" w14:textId="5FE0126C" w:rsidR="006F2FAE" w:rsidRDefault="00C211F1" w:rsidP="00457D68">
      <w:pPr>
        <w:pStyle w:val="NoSpacing"/>
        <w:numPr>
          <w:ilvl w:val="0"/>
          <w:numId w:val="142"/>
        </w:numPr>
        <w:spacing w:before="120" w:after="120"/>
      </w:pPr>
      <w:r>
        <w:t xml:space="preserve">On </w:t>
      </w:r>
      <w:r w:rsidR="00B304F0">
        <w:t>d</w:t>
      </w:r>
      <w:r w:rsidRPr="005553F1">
        <w:t xml:space="preserve">ata </w:t>
      </w:r>
      <w:r w:rsidR="00B304F0">
        <w:t>a</w:t>
      </w:r>
      <w:r w:rsidRPr="005553F1">
        <w:t>ccess</w:t>
      </w:r>
      <w:r>
        <w:t xml:space="preserve">, actions could include: </w:t>
      </w:r>
    </w:p>
    <w:p w14:paraId="581ABD9B" w14:textId="08C5B185" w:rsidR="00DF71CF" w:rsidRPr="00BA1C8F" w:rsidRDefault="00023B4B" w:rsidP="00AE0071">
      <w:pPr>
        <w:pStyle w:val="NoSpacing"/>
        <w:numPr>
          <w:ilvl w:val="1"/>
          <w:numId w:val="142"/>
        </w:numPr>
        <w:spacing w:before="120" w:after="120"/>
      </w:pPr>
      <w:r>
        <w:t xml:space="preserve">The </w:t>
      </w:r>
      <w:r w:rsidR="00C211F1">
        <w:t xml:space="preserve">SCC </w:t>
      </w:r>
      <w:r>
        <w:t xml:space="preserve">could </w:t>
      </w:r>
      <w:r w:rsidR="00C211F1">
        <w:t>e</w:t>
      </w:r>
      <w:r w:rsidR="00C211F1" w:rsidRPr="00BA1C8F">
        <w:t>stablish a standardized third-party data-access/authorization process (aggregator registration, security, consent)</w:t>
      </w:r>
      <w:r w:rsidR="00C211F1">
        <w:t>.</w:t>
      </w:r>
    </w:p>
    <w:p w14:paraId="4989DA7C" w14:textId="7F55A8F2" w:rsidR="00DF71CF" w:rsidRPr="00B5390D" w:rsidRDefault="00023B4B" w:rsidP="00AE0071">
      <w:pPr>
        <w:pStyle w:val="NoSpacing"/>
        <w:numPr>
          <w:ilvl w:val="1"/>
          <w:numId w:val="142"/>
        </w:numPr>
        <w:spacing w:before="120" w:after="120"/>
      </w:pPr>
      <w:r>
        <w:t xml:space="preserve">The </w:t>
      </w:r>
      <w:r w:rsidR="00C211F1">
        <w:t xml:space="preserve">SCC </w:t>
      </w:r>
      <w:r>
        <w:t xml:space="preserve">could </w:t>
      </w:r>
      <w:r w:rsidR="00C211F1">
        <w:t xml:space="preserve">require </w:t>
      </w:r>
      <w:r w:rsidR="00C211F1" w:rsidRPr="00BA1C8F">
        <w:t>utilities to implement Green Button Connect My Data (NAESB REQ.21/ESPI standard) for both Dominion and APCo, matching progress underway in NY, MA, and NC</w:t>
      </w:r>
      <w:r w:rsidR="00C211F1">
        <w:t>.</w:t>
      </w:r>
    </w:p>
    <w:p w14:paraId="0AB5D153" w14:textId="43B536EC" w:rsidR="00012BCC" w:rsidRDefault="00023B4B" w:rsidP="00012BCC">
      <w:pPr>
        <w:pStyle w:val="NoSpacing"/>
        <w:numPr>
          <w:ilvl w:val="1"/>
          <w:numId w:val="142"/>
        </w:numPr>
        <w:spacing w:before="120" w:after="120"/>
      </w:pPr>
      <w:r>
        <w:t xml:space="preserve">The </w:t>
      </w:r>
      <w:r w:rsidR="00C211F1">
        <w:t xml:space="preserve">SCC and Virginia Energy </w:t>
      </w:r>
      <w:r>
        <w:t xml:space="preserve">could </w:t>
      </w:r>
      <w:r w:rsidR="00C211F1">
        <w:t>build</w:t>
      </w:r>
      <w:r w:rsidR="00C211F1" w:rsidRPr="00BA1C8F">
        <w:t xml:space="preserve"> a centralized</w:t>
      </w:r>
      <w:r w:rsidR="00DF5715">
        <w:t>, publicly available</w:t>
      </w:r>
      <w:r w:rsidR="00C211F1" w:rsidRPr="00BA1C8F">
        <w:t xml:space="preserve"> platform</w:t>
      </w:r>
      <w:r w:rsidR="00DF5715">
        <w:t xml:space="preserve"> for DER data</w:t>
      </w:r>
      <w:r w:rsidR="00C211F1" w:rsidRPr="00BA1C8F">
        <w:t>; initiate a working group to develop statewide data access requirement</w:t>
      </w:r>
      <w:r w:rsidR="00C211F1">
        <w:t>.</w:t>
      </w:r>
    </w:p>
    <w:p w14:paraId="253D87DC" w14:textId="77777777" w:rsidR="00012BCC" w:rsidRDefault="00012BCC" w:rsidP="00012BCC">
      <w:pPr>
        <w:rPr>
          <w:highlight w:val="yellow"/>
        </w:rPr>
      </w:pPr>
    </w:p>
    <w:p w14:paraId="06EE47F9" w14:textId="286FC7C0" w:rsidR="00BD2342" w:rsidRDefault="006944DC" w:rsidP="00CE2521">
      <w:pPr>
        <w:pStyle w:val="Heading3"/>
        <w:spacing w:after="240"/>
      </w:pPr>
      <w:bookmarkStart w:id="750" w:name="_Toc239862906"/>
      <w:r w:rsidRPr="00CE2521">
        <w:rPr>
          <w:b/>
        </w:rPr>
        <w:t xml:space="preserve">Recommendation </w:t>
      </w:r>
      <w:r w:rsidR="00BD2342">
        <w:rPr>
          <w:b/>
          <w:bCs/>
        </w:rPr>
        <w:t>4</w:t>
      </w:r>
      <w:r w:rsidRPr="00CE2521">
        <w:rPr>
          <w:b/>
        </w:rPr>
        <w:t xml:space="preserve">: </w:t>
      </w:r>
      <w:r w:rsidR="00392464" w:rsidRPr="00CE2521">
        <w:rPr>
          <w:b/>
        </w:rPr>
        <w:t>Develop</w:t>
      </w:r>
      <w:r w:rsidR="00291D5B" w:rsidRPr="00CE2521">
        <w:rPr>
          <w:b/>
        </w:rPr>
        <w:t xml:space="preserve"> Expanded</w:t>
      </w:r>
      <w:r w:rsidR="00392464" w:rsidRPr="00CE2521">
        <w:rPr>
          <w:b/>
        </w:rPr>
        <w:t xml:space="preserve"> </w:t>
      </w:r>
      <w:r w:rsidR="00C47572" w:rsidRPr="00CE2521">
        <w:rPr>
          <w:b/>
        </w:rPr>
        <w:t xml:space="preserve">DER and </w:t>
      </w:r>
      <w:r w:rsidRPr="00CE2521">
        <w:rPr>
          <w:b/>
        </w:rPr>
        <w:t>VPP Compensation Models</w:t>
      </w:r>
      <w:bookmarkEnd w:id="750"/>
      <w:r w:rsidR="00417C6B" w:rsidRPr="00CE2521">
        <w:rPr>
          <w:b/>
        </w:rPr>
        <w:t xml:space="preserve"> </w:t>
      </w:r>
    </w:p>
    <w:p w14:paraId="5E2E82A9" w14:textId="36786F6A" w:rsidR="00FE3E3F" w:rsidRDefault="00D44177" w:rsidP="00D459B9">
      <w:pPr>
        <w:spacing w:before="120" w:after="120"/>
        <w:rPr>
          <w:b/>
          <w:bCs/>
        </w:rPr>
      </w:pPr>
      <w:r w:rsidRPr="003103C1">
        <w:rPr>
          <w:b/>
          <w:bCs/>
        </w:rPr>
        <w:t>Finding</w:t>
      </w:r>
      <w:r w:rsidRPr="00CE2521">
        <w:t>:</w:t>
      </w:r>
      <w:r w:rsidR="007B63A7" w:rsidRPr="00CE2521">
        <w:t xml:space="preserve"> </w:t>
      </w:r>
      <w:r w:rsidR="00FE3E3F" w:rsidRPr="00CE2521">
        <w:t xml:space="preserve">Virginia’s net-energy-metering (NEM) framework remains an important foundation for customer-sited solar adoption and should be preserved. However, NEM </w:t>
      </w:r>
      <w:r w:rsidR="00C96A15">
        <w:t xml:space="preserve">is not well suited to </w:t>
      </w:r>
      <w:r w:rsidR="00FE3E3F" w:rsidRPr="00CE2521">
        <w:t xml:space="preserve">recognize the distinct energy, capacity, flexibility, ancillary-service, and locational value that </w:t>
      </w:r>
      <w:r w:rsidR="00C96A15">
        <w:t xml:space="preserve">dispatchable </w:t>
      </w:r>
      <w:r w:rsidR="00FE3E3F" w:rsidRPr="00CE2521">
        <w:t xml:space="preserve">DERs </w:t>
      </w:r>
      <w:r w:rsidR="00C96A15">
        <w:t xml:space="preserve">(e.g., batteries, bidirectional EVs, etc.) </w:t>
      </w:r>
      <w:r w:rsidR="00FE3E3F" w:rsidRPr="00CE2521">
        <w:t>can provide. In particular, Task Force members identified uncertainty around whether—and how—batteries paired with NEM solar can export energy or provide PJM and distribution-level services while avoiding duplicate compensation for the same attribute. This limits the economics of customer-sited storage, resilience hubs, and other VPP-ready resources</w:t>
      </w:r>
      <w:r w:rsidR="00FE3E3F">
        <w:rPr>
          <w:b/>
          <w:bCs/>
        </w:rPr>
        <w:t xml:space="preserve">. </w:t>
      </w:r>
    </w:p>
    <w:p w14:paraId="62888C7D" w14:textId="018F0E55" w:rsidR="0052331B" w:rsidRDefault="0052331B" w:rsidP="00D459B9">
      <w:pPr>
        <w:spacing w:before="120" w:after="120"/>
      </w:pPr>
      <w:r w:rsidRPr="0052331B">
        <w:t xml:space="preserve">Task Force discussion supported an additive approach: maintain NEM as the solar deployment foundation while enabling DER owners to receive separate, verifiable compensation for incremental grid services. This requires clear retail-wholesale coordination, including metering, dispatch, settlement, export attribution, and anti-double-counting rules, so that a resource can stack compatible </w:t>
      </w:r>
      <w:r w:rsidR="00C96A15">
        <w:t xml:space="preserve">retail </w:t>
      </w:r>
      <w:r w:rsidRPr="0052331B">
        <w:t xml:space="preserve">and PJM revenue streams without being paid twice for the same service. </w:t>
      </w:r>
    </w:p>
    <w:p w14:paraId="5372123B" w14:textId="53B1A797" w:rsidR="009853D9" w:rsidRDefault="00F75694" w:rsidP="00D459B9">
      <w:pPr>
        <w:spacing w:before="120" w:after="120"/>
      </w:pPr>
      <w:r>
        <w:t xml:space="preserve">Task Force members noted how </w:t>
      </w:r>
      <w:r w:rsidRPr="00F75694">
        <w:t>New York, Massachusetts, and Illinois offer useful but distinct models for modernizing DER compensation</w:t>
      </w:r>
      <w:r>
        <w:t xml:space="preserve"> that Virginia could learn from. </w:t>
      </w:r>
      <w:r w:rsidRPr="00F75694">
        <w:t>New York’s Value Stack</w:t>
      </w:r>
      <w:r w:rsidR="00EB7D88">
        <w:rPr>
          <w:rStyle w:val="FootnoteReference"/>
        </w:rPr>
        <w:footnoteReference w:id="53"/>
      </w:r>
      <w:r w:rsidRPr="00F75694">
        <w:t xml:space="preserve"> compensates DERs for the specific grid services they provide—including performance during high-value periods and in constrained locations—while pairing tariff revenues with targeted deployment incentive</w:t>
      </w:r>
      <w:r w:rsidR="00EB7D88">
        <w:t xml:space="preserve">; </w:t>
      </w:r>
      <w:r w:rsidRPr="00F75694">
        <w:t xml:space="preserve">Massachusetts demonstrates a performance-based tariff that can operate alongside net-metering credits; and Illinois illustrates how incentives can include location and equity adders. Virginia </w:t>
      </w:r>
      <w:r>
        <w:t>can</w:t>
      </w:r>
      <w:r w:rsidRPr="00F75694">
        <w:t xml:space="preserve"> adapt these lessons by preserving NEM while adding transparent, performance- and location-based compensation for separately measured DER services, with rules suited to Virginia’s utility structure, affordability priorities, and PJM market context.</w:t>
      </w:r>
    </w:p>
    <w:p w14:paraId="29131225" w14:textId="173BC05F" w:rsidR="0052331B" w:rsidRDefault="00CD1B57" w:rsidP="00D459B9">
      <w:pPr>
        <w:spacing w:before="120" w:after="120"/>
      </w:pPr>
      <w:r>
        <w:t xml:space="preserve">Whether and how </w:t>
      </w:r>
      <w:r w:rsidR="009853D9" w:rsidRPr="009853D9">
        <w:t>Virginia should provide new up</w:t>
      </w:r>
      <w:r w:rsidR="00B7746E">
        <w:t>-</w:t>
      </w:r>
      <w:r w:rsidR="009853D9" w:rsidRPr="009853D9">
        <w:t>front DER incentives</w:t>
      </w:r>
      <w:r w:rsidR="00A508EB">
        <w:t xml:space="preserve"> is </w:t>
      </w:r>
      <w:r w:rsidR="001E0BB0">
        <w:t>not yet clear. S</w:t>
      </w:r>
      <w:r w:rsidR="009853D9" w:rsidRPr="009853D9">
        <w:t xml:space="preserve">ome </w:t>
      </w:r>
      <w:r w:rsidR="001E0BB0">
        <w:t xml:space="preserve">Task Force members </w:t>
      </w:r>
      <w:r w:rsidR="009853D9" w:rsidRPr="009853D9">
        <w:t xml:space="preserve">supported targeted, time-limited incentives to address early-market and deployment barriers, while others favored prioritizing accurate, service-based compensation and affordability safeguards </w:t>
      </w:r>
      <w:r w:rsidR="001E0BB0">
        <w:t xml:space="preserve">to support project economics </w:t>
      </w:r>
      <w:r w:rsidR="009853D9" w:rsidRPr="009853D9">
        <w:t>before adding new subsidies.</w:t>
      </w:r>
    </w:p>
    <w:p w14:paraId="45D1F66D" w14:textId="372D9D37" w:rsidR="00012BCC" w:rsidRDefault="00012BCC" w:rsidP="00D459B9">
      <w:pPr>
        <w:spacing w:before="120" w:after="120"/>
      </w:pPr>
      <w:r w:rsidRPr="006F09ED">
        <w:rPr>
          <w:b/>
          <w:bCs/>
        </w:rPr>
        <w:t>Recommendation</w:t>
      </w:r>
      <w:r>
        <w:t xml:space="preserve">: </w:t>
      </w:r>
      <w:r w:rsidRPr="00644D0C">
        <w:t xml:space="preserve">Transition </w:t>
      </w:r>
      <w:r w:rsidR="00DF3C0A">
        <w:t>to</w:t>
      </w:r>
      <w:r w:rsidR="00DF3C0A" w:rsidRPr="00680B9B">
        <w:t xml:space="preserve"> more granular</w:t>
      </w:r>
      <w:r w:rsidR="00D462E7">
        <w:t>, technology-neutral</w:t>
      </w:r>
      <w:r w:rsidR="00DF3C0A" w:rsidRPr="00680B9B">
        <w:t xml:space="preserve"> </w:t>
      </w:r>
      <w:r w:rsidR="00DF3C0A">
        <w:t>valuation structures</w:t>
      </w:r>
      <w:r w:rsidR="00DF3C0A" w:rsidRPr="00680B9B">
        <w:t xml:space="preserve"> that compensate DERs </w:t>
      </w:r>
      <w:r w:rsidR="00DF3C0A">
        <w:t>and</w:t>
      </w:r>
      <w:r w:rsidR="00DF3C0A" w:rsidRPr="00680B9B">
        <w:t xml:space="preserve"> VPPs for their </w:t>
      </w:r>
      <w:r w:rsidR="00DF3C0A">
        <w:t>locational and operational characteristics</w:t>
      </w:r>
      <w:r w:rsidR="001A64D8">
        <w:t xml:space="preserve">, </w:t>
      </w:r>
      <w:r w:rsidR="00D462E7">
        <w:t xml:space="preserve">such as </w:t>
      </w:r>
      <w:r w:rsidRPr="00644D0C">
        <w:t xml:space="preserve">"Value Stacking" </w:t>
      </w:r>
      <w:r w:rsidR="00D462E7">
        <w:t xml:space="preserve">compensation models </w:t>
      </w:r>
      <w:r w:rsidRPr="00644D0C">
        <w:t>that reward DERs for specific grid services</w:t>
      </w:r>
      <w:r w:rsidR="00EF5FB5">
        <w:t xml:space="preserve">: </w:t>
      </w:r>
      <w:r w:rsidRPr="00644D0C">
        <w:t>energy, capacity, locational relief, and ancillary services.</w:t>
      </w:r>
      <w:r w:rsidR="00373ED8">
        <w:t xml:space="preserve"> </w:t>
      </w:r>
      <w:r w:rsidR="00373ED8" w:rsidRPr="00CE2521">
        <w:rPr>
          <w:b/>
        </w:rPr>
        <w:t xml:space="preserve">Actions </w:t>
      </w:r>
      <w:r w:rsidR="00392464" w:rsidRPr="00CE2521">
        <w:rPr>
          <w:b/>
        </w:rPr>
        <w:t xml:space="preserve">could </w:t>
      </w:r>
      <w:r w:rsidR="00373ED8" w:rsidRPr="00CE2521">
        <w:rPr>
          <w:b/>
        </w:rPr>
        <w:t>include:</w:t>
      </w:r>
      <w:r w:rsidRPr="00CE2521">
        <w:rPr>
          <w:b/>
        </w:rPr>
        <w:t xml:space="preserve">  </w:t>
      </w:r>
    </w:p>
    <w:p w14:paraId="4C24052B" w14:textId="0F89633C" w:rsidR="00012BCC" w:rsidRDefault="00012BCC" w:rsidP="00D459B9">
      <w:pPr>
        <w:pStyle w:val="ListParagraph"/>
        <w:numPr>
          <w:ilvl w:val="0"/>
          <w:numId w:val="19"/>
        </w:numPr>
        <w:spacing w:before="120" w:after="120"/>
      </w:pPr>
      <w:r w:rsidRPr="00CE2521">
        <w:rPr>
          <w:b/>
        </w:rPr>
        <w:t>Direct</w:t>
      </w:r>
      <w:r w:rsidR="00373ED8" w:rsidRPr="00CE2521">
        <w:rPr>
          <w:b/>
        </w:rPr>
        <w:t xml:space="preserve"> Virginia Energy to collaborate with the SCC and utilities to </w:t>
      </w:r>
      <w:r w:rsidRPr="00CE2521">
        <w:rPr>
          <w:b/>
        </w:rPr>
        <w:t xml:space="preserve">develop </w:t>
      </w:r>
      <w:r w:rsidR="006C3083" w:rsidRPr="00CE2521">
        <w:rPr>
          <w:b/>
        </w:rPr>
        <w:t xml:space="preserve">and phase-in implementation of </w:t>
      </w:r>
      <w:r w:rsidRPr="00CE2521">
        <w:rPr>
          <w:b/>
        </w:rPr>
        <w:t xml:space="preserve">a value-stacking </w:t>
      </w:r>
      <w:r w:rsidR="006C3083" w:rsidRPr="00CE2521">
        <w:rPr>
          <w:b/>
        </w:rPr>
        <w:t>compensation framework</w:t>
      </w:r>
      <w:r w:rsidR="006C3083">
        <w:t xml:space="preserve"> </w:t>
      </w:r>
      <w:r w:rsidRPr="002F7F46">
        <w:t xml:space="preserve">(energy, capacity, environmental, demand-reduction, and locational-relief components); consider following New York's model of phasing </w:t>
      </w:r>
      <w:r>
        <w:t>the value stack framework</w:t>
      </w:r>
      <w:r w:rsidRPr="002F7F46">
        <w:t xml:space="preserve"> in for larger projects first.</w:t>
      </w:r>
      <w:r w:rsidR="009653C5">
        <w:t xml:space="preserve"> </w:t>
      </w:r>
      <w:r w:rsidRPr="002F7F46">
        <w:t>Allow storage</w:t>
      </w:r>
      <w:r w:rsidR="00455147">
        <w:t xml:space="preserve">+solar </w:t>
      </w:r>
      <w:r w:rsidRPr="002F7F46">
        <w:t>and storage-only DERs to qualify for value-stack compensation.</w:t>
      </w:r>
    </w:p>
    <w:p w14:paraId="4BD94FCA" w14:textId="0B6D4690" w:rsidR="00527E4F" w:rsidRPr="002F7F46" w:rsidRDefault="00527E4F" w:rsidP="00D459B9">
      <w:pPr>
        <w:pStyle w:val="ListParagraph"/>
        <w:numPr>
          <w:ilvl w:val="0"/>
          <w:numId w:val="19"/>
        </w:numPr>
        <w:spacing w:before="120" w:after="120"/>
      </w:pPr>
      <w:r w:rsidRPr="00CE2521">
        <w:rPr>
          <w:b/>
        </w:rPr>
        <w:t>Establish a specific NEM-plus-storage participation pathway</w:t>
      </w:r>
      <w:r w:rsidRPr="008C397F">
        <w:t xml:space="preserve"> addressing separate metering or equivalent device-level verification, control and dispatch arrangements, export attribution, billing, customer protections, and anti-double-counting safeguards</w:t>
      </w:r>
      <w:r>
        <w:t xml:space="preserve"> to address current storage+NEM solar barriers.</w:t>
      </w:r>
    </w:p>
    <w:p w14:paraId="4417163A" w14:textId="122D3CC3" w:rsidR="00CD1D58" w:rsidRPr="00A86E33" w:rsidRDefault="00C211F1" w:rsidP="00D459B9">
      <w:pPr>
        <w:pStyle w:val="ListParagraph"/>
        <w:numPr>
          <w:ilvl w:val="0"/>
          <w:numId w:val="19"/>
        </w:numPr>
        <w:spacing w:before="120" w:after="120"/>
      </w:pPr>
      <w:r w:rsidRPr="00455147">
        <w:rPr>
          <w:b/>
          <w:bCs/>
        </w:rPr>
        <w:t>The General Assembly could raise</w:t>
      </w:r>
      <w:r w:rsidR="00012BCC" w:rsidRPr="00455147">
        <w:rPr>
          <w:b/>
          <w:bCs/>
        </w:rPr>
        <w:t xml:space="preserve"> the 6%-of-peak-demand net-metering cap</w:t>
      </w:r>
      <w:r w:rsidR="00012BCC" w:rsidRPr="00A86E33">
        <w:t xml:space="preserve"> before deployment approaches cap</w:t>
      </w:r>
      <w:r w:rsidR="00B2165E" w:rsidRPr="00A86E33">
        <w:t xml:space="preserve"> to support continued industry investment.  </w:t>
      </w:r>
    </w:p>
    <w:p w14:paraId="1191DD34" w14:textId="4335CE80" w:rsidR="00F73492" w:rsidRPr="00CE2521" w:rsidRDefault="00F73492" w:rsidP="00D459B9">
      <w:pPr>
        <w:pStyle w:val="Heading3"/>
        <w:spacing w:before="120" w:after="120"/>
      </w:pPr>
      <w:bookmarkStart w:id="751" w:name="_Toc239862907"/>
      <w:r w:rsidRPr="00CE2521">
        <w:rPr>
          <w:b/>
        </w:rPr>
        <w:t xml:space="preserve">Recommendation </w:t>
      </w:r>
      <w:r w:rsidR="00BD2342">
        <w:rPr>
          <w:b/>
          <w:bCs/>
        </w:rPr>
        <w:t>5</w:t>
      </w:r>
      <w:r w:rsidRPr="00CE2521">
        <w:rPr>
          <w:b/>
        </w:rPr>
        <w:t xml:space="preserve">: </w:t>
      </w:r>
      <w:r w:rsidR="00857A6D" w:rsidRPr="00CE2521">
        <w:rPr>
          <w:b/>
        </w:rPr>
        <w:t xml:space="preserve">Integrate DERs into </w:t>
      </w:r>
      <w:r w:rsidRPr="00CE2521">
        <w:rPr>
          <w:b/>
        </w:rPr>
        <w:t>PJM Wholesale Market</w:t>
      </w:r>
      <w:r w:rsidR="00857A6D" w:rsidRPr="00CE2521">
        <w:rPr>
          <w:b/>
        </w:rPr>
        <w:t xml:space="preserve">s </w:t>
      </w:r>
      <w:r w:rsidRPr="00CE2521">
        <w:rPr>
          <w:b/>
        </w:rPr>
        <w:t>(Including FERC Order 2222)</w:t>
      </w:r>
      <w:bookmarkEnd w:id="751"/>
      <w:r w:rsidRPr="00CE2521">
        <w:rPr>
          <w:b/>
        </w:rPr>
        <w:t xml:space="preserve"> </w:t>
      </w:r>
    </w:p>
    <w:p w14:paraId="7F1A7DDF" w14:textId="64754C6D" w:rsidR="00F73492" w:rsidRPr="00CE2521" w:rsidRDefault="009E3198" w:rsidP="00D459B9">
      <w:pPr>
        <w:spacing w:before="120" w:after="120"/>
      </w:pPr>
      <w:r w:rsidRPr="00CE2521">
        <w:rPr>
          <w:b/>
        </w:rPr>
        <w:t xml:space="preserve">Finding: </w:t>
      </w:r>
      <w:r w:rsidR="00F73492" w:rsidRPr="00CE2521">
        <w:t xml:space="preserve">As described in Chapter 3, DERs and VPPs are able to participate in </w:t>
      </w:r>
      <w:r w:rsidR="00A17875" w:rsidRPr="00CE2521">
        <w:t xml:space="preserve">PJM </w:t>
      </w:r>
      <w:r w:rsidR="00F73492" w:rsidRPr="00CE2521">
        <w:t>wholesale markets</w:t>
      </w:r>
      <w:r w:rsidR="00A17875" w:rsidRPr="00CE2521">
        <w:t xml:space="preserve">, both as injecting supply resources </w:t>
      </w:r>
      <w:r w:rsidR="00F73492" w:rsidRPr="00CE2521">
        <w:t>(governed by FERC Order 2222) and as demand</w:t>
      </w:r>
      <w:r w:rsidR="00A17875" w:rsidRPr="00CE2521">
        <w:t xml:space="preserve"> response resources. </w:t>
      </w:r>
      <w:r w:rsidR="00F73492" w:rsidRPr="00CE2521">
        <w:t>The Task Force’s statute directs the Task Force to make recommendations to harmonize the Commonwealth's interconnection and retail frameworks with PJM’s FERC Order No. 2222 compliance plan,</w:t>
      </w:r>
      <w:r w:rsidR="00F73492" w:rsidRPr="00CE2521">
        <w:rPr>
          <w:color w:val="333333"/>
          <w:spacing w:val="-1"/>
          <w:shd w:val="clear" w:color="auto" w:fill="FFFFFF"/>
        </w:rPr>
        <w:t xml:space="preserve"> with s</w:t>
      </w:r>
      <w:r w:rsidR="00F73492" w:rsidRPr="00CE2521">
        <w:t xml:space="preserve">uch recommendations supporting Commission action on or before February 1, 2027.  In line with this direction, with input from the Task Force members, utilities (particularly help from Dominion), and national expertise from former FERC staffer, the roadmap below </w:t>
      </w:r>
      <w:r w:rsidRPr="00CE2521">
        <w:t xml:space="preserve">in Section </w:t>
      </w:r>
      <w:r w:rsidR="005F4A99">
        <w:t>5.3</w:t>
      </w:r>
      <w:r w:rsidRPr="00CE2521">
        <w:t xml:space="preserve"> </w:t>
      </w:r>
      <w:r w:rsidR="00F73492" w:rsidRPr="00CE2521">
        <w:t xml:space="preserve">outlines the policy topics Virginia needs to establish clear rules and regulations around to support FERC 2222. </w:t>
      </w:r>
    </w:p>
    <w:p w14:paraId="28150EF8" w14:textId="2815A767" w:rsidR="00F73492" w:rsidRPr="00CE2521" w:rsidRDefault="00F73492" w:rsidP="00D459B9">
      <w:pPr>
        <w:spacing w:before="120" w:after="120"/>
        <w:jc w:val="both"/>
      </w:pPr>
      <w:r w:rsidRPr="00CE2521">
        <w:t>Notably, during the Task Force and stakeholder input meetings, DER industry developers highlighted challenges with PJM rules and economics (</w:t>
      </w:r>
      <w:r w:rsidR="00D2469F">
        <w:t>e.g.,</w:t>
      </w:r>
      <w:r w:rsidRPr="00CE2521">
        <w:t xml:space="preserve"> challenges with </w:t>
      </w:r>
      <w:r w:rsidR="00D2469F">
        <w:t>effective load carrying capability (</w:t>
      </w:r>
      <w:r w:rsidRPr="00CE2521">
        <w:t>ELCC</w:t>
      </w:r>
      <w:r w:rsidR="00D2469F">
        <w:t>)</w:t>
      </w:r>
      <w:r w:rsidR="00D72FF4">
        <w:t xml:space="preserve"> </w:t>
      </w:r>
      <w:r w:rsidR="00107B86">
        <w:t>values</w:t>
      </w:r>
      <w:r w:rsidRPr="00CE2521">
        <w:t xml:space="preserve"> </w:t>
      </w:r>
      <w:r w:rsidR="007A1C90">
        <w:t>for</w:t>
      </w:r>
      <w:r w:rsidRPr="00CE2521">
        <w:t xml:space="preserve"> DER aggregations</w:t>
      </w:r>
      <w:r w:rsidR="00D72FF4">
        <w:t xml:space="preserve"> in PJM</w:t>
      </w:r>
      <w:r w:rsidRPr="00CE2521">
        <w:t xml:space="preserve">) that challenge the viability of DER </w:t>
      </w:r>
      <w:r w:rsidR="00791BD0">
        <w:t xml:space="preserve">aggregations </w:t>
      </w:r>
      <w:r w:rsidRPr="00CE2521">
        <w:t>under FERC 2222. This was evidenced</w:t>
      </w:r>
      <w:r w:rsidRPr="00CE2521" w:rsidDel="00FA12CF">
        <w:t xml:space="preserve"> </w:t>
      </w:r>
      <w:r w:rsidRPr="00CE2521">
        <w:t>in PJM’s June 2026 Base Residual Auction, which was the first auction where DERs were allowed to participate, yet no DER aggregations bid into the auction. Reasons for this that were highlighted by T</w:t>
      </w:r>
      <w:r w:rsidR="00791BD0">
        <w:t xml:space="preserve">ask Force </w:t>
      </w:r>
      <w:r w:rsidRPr="00CE2521">
        <w:t>members and stakeholder</w:t>
      </w:r>
      <w:r w:rsidR="00791BD0">
        <w:t>s</w:t>
      </w:r>
      <w:r w:rsidRPr="00CE2521">
        <w:t xml:space="preserve"> include that PJM’s DER Aggregator Participation Model was not yet operational, and key market, implementation, and economic challenges persisted</w:t>
      </w:r>
      <w:r w:rsidR="00791BD0">
        <w:t xml:space="preserve">—including a lack of </w:t>
      </w:r>
      <w:r w:rsidRPr="00CE2521">
        <w:t>supportive state policies.</w:t>
      </w:r>
      <w:r w:rsidR="009E3198" w:rsidRPr="00CE2521">
        <w:t xml:space="preserve"> </w:t>
      </w:r>
      <w:r w:rsidRPr="00CE2521">
        <w:t>Consequently, DER aggregators will likely wait to participate in PJM markets until (a) PJM finalizes many of the system and manual changes that are upcoming, including improving the economics of these resources, and (b) states implement supportive Order 2222 policies and regulation.</w:t>
      </w:r>
      <w:r w:rsidR="009E3198" w:rsidRPr="00CE2521">
        <w:t xml:space="preserve"> </w:t>
      </w:r>
      <w:r w:rsidRPr="00CE2521">
        <w:t>In the meantime, given lack of supportive state policy and economics, DER aggregations will likely choo</w:t>
      </w:r>
      <w:r w:rsidR="00723AE2">
        <w:t>se</w:t>
      </w:r>
      <w:r w:rsidRPr="00CE2521">
        <w:t xml:space="preserve"> to pursue demand-side participation pathways instead of bidding into PJM capacity auctions. </w:t>
      </w:r>
    </w:p>
    <w:p w14:paraId="5C3ED36E" w14:textId="38B9E111" w:rsidR="00F73492" w:rsidRPr="00CE2521" w:rsidRDefault="00F73492" w:rsidP="00D459B9">
      <w:pPr>
        <w:spacing w:before="120" w:after="120"/>
      </w:pPr>
      <w:r w:rsidRPr="00CE2521">
        <w:t xml:space="preserve">While PJM’s actions here are outside of the remit of Virginia’s authority, Virginia still has a role in updating its policies to enable DER aggregations to more fully participate in wholesale markets. Virginia can continue to pursue the establishment of necessary supportive policies to align state requirements with FERC Order 2222 and PJM rules and can advocate to PJM for fixing their restrictive rules that adversely impact DER aggregation participation. </w:t>
      </w:r>
    </w:p>
    <w:p w14:paraId="0CA5C979" w14:textId="0011D6A6" w:rsidR="00F73492" w:rsidRPr="00CE2521" w:rsidRDefault="00F73492" w:rsidP="00D459B9">
      <w:pPr>
        <w:spacing w:before="120" w:after="120"/>
      </w:pPr>
      <w:r w:rsidRPr="00CE2521">
        <w:t xml:space="preserve">However, given the near-term challenges with PJM markets, Virginia should continue to support and foster pathways for DER aggregators to participate as demand-side resources to foster near-term investment and help meet near-term grid needs, such as through the Peak Shaving Adjustment and traditional demand-response pathways. </w:t>
      </w:r>
    </w:p>
    <w:p w14:paraId="4F2EEC1E" w14:textId="3C503119" w:rsidR="00F73492" w:rsidRPr="00CE2521" w:rsidRDefault="00F73492" w:rsidP="00D459B9">
      <w:pPr>
        <w:spacing w:before="120" w:after="120"/>
      </w:pPr>
      <w:r w:rsidRPr="00CE2521">
        <w:rPr>
          <w:b/>
        </w:rPr>
        <w:t xml:space="preserve">Recommendation: </w:t>
      </w:r>
      <w:r w:rsidRPr="00A86E33">
        <w:t xml:space="preserve">Virginia should establish the minimum necessary compliance requirements for FERC 2222 by no later than November 2027 using the FERC 2222 roadmap below to build in-state foundations now so Virginia is ready once PJM's model matures. This should be in parallel to a continued focus on enabling demand response resources that are operable within existing PJM rules and can help meet near-term grid needs and attract industry investment and market development. </w:t>
      </w:r>
      <w:r w:rsidR="00847F17">
        <w:rPr>
          <w:b/>
          <w:bCs/>
        </w:rPr>
        <w:t>Actions could include:</w:t>
      </w:r>
    </w:p>
    <w:p w14:paraId="56250779" w14:textId="23EA3AC4" w:rsidR="00F73492" w:rsidRPr="00CE2521" w:rsidRDefault="00F73492" w:rsidP="00D459B9">
      <w:pPr>
        <w:pStyle w:val="ListParagraph"/>
        <w:numPr>
          <w:ilvl w:val="0"/>
          <w:numId w:val="58"/>
        </w:numPr>
        <w:spacing w:before="120" w:after="120"/>
      </w:pPr>
      <w:r w:rsidRPr="00FF5CE4">
        <w:rPr>
          <w:b/>
          <w:bCs/>
        </w:rPr>
        <w:t xml:space="preserve">The SCC should establish the minimum statewide procedures </w:t>
      </w:r>
      <w:r w:rsidRPr="00CE2521">
        <w:t>necessary for aggregators to understand the rules governing distribution-system participation before they must enter PJM's 2027 market processes, ideally through a SCC rulemaking or proceeding (in line with suggestions from Dominion) or other efforts that establish uniform statewide procedures for FERC 2222 alignment.</w:t>
      </w:r>
      <w:r w:rsidRPr="00CE2521">
        <w:rPr>
          <w:rStyle w:val="FootnoteReference"/>
        </w:rPr>
        <w:footnoteReference w:id="54"/>
      </w:r>
    </w:p>
    <w:p w14:paraId="659C9F39" w14:textId="06EB6554" w:rsidR="00F73492" w:rsidRPr="00CE2521" w:rsidRDefault="00F73492" w:rsidP="00D459B9">
      <w:pPr>
        <w:pStyle w:val="ListParagraph"/>
        <w:numPr>
          <w:ilvl w:val="0"/>
          <w:numId w:val="58"/>
        </w:numPr>
        <w:spacing w:before="120" w:after="120"/>
      </w:pPr>
      <w:r w:rsidRPr="00FF5CE4">
        <w:rPr>
          <w:b/>
          <w:bCs/>
        </w:rPr>
        <w:t xml:space="preserve">Virginia should </w:t>
      </w:r>
      <w:r w:rsidR="0082235F" w:rsidRPr="00FF5CE4">
        <w:rPr>
          <w:b/>
          <w:bCs/>
        </w:rPr>
        <w:t>prioritize</w:t>
      </w:r>
      <w:r w:rsidRPr="00FF5CE4">
        <w:rPr>
          <w:b/>
          <w:bCs/>
        </w:rPr>
        <w:t xml:space="preserve"> more proactive engagement with PJM</w:t>
      </w:r>
      <w:r w:rsidRPr="00CE2521">
        <w:t xml:space="preserve"> </w:t>
      </w:r>
      <w:r w:rsidR="00592844">
        <w:t xml:space="preserve">(e.g., </w:t>
      </w:r>
      <w:r w:rsidR="0082235F">
        <w:t xml:space="preserve">through </w:t>
      </w:r>
      <w:r w:rsidR="000A6E85">
        <w:t>the Governor’s Office</w:t>
      </w:r>
      <w:r w:rsidR="005417C9">
        <w:t>, OPSI,</w:t>
      </w:r>
      <w:r w:rsidR="000A6E85">
        <w:t xml:space="preserve"> and/</w:t>
      </w:r>
      <w:r w:rsidR="00FE4AB7">
        <w:t>or Virginia Energy</w:t>
      </w:r>
      <w:r w:rsidR="00592844">
        <w:t>)</w:t>
      </w:r>
      <w:r w:rsidR="00667E04">
        <w:t xml:space="preserve"> </w:t>
      </w:r>
      <w:r w:rsidRPr="00CE2521">
        <w:t xml:space="preserve">to ensure that the processes being developed are consistent and supportive of state DER and VPP goals, both for FERC 2222 supply-side processes and continued demand-side options. </w:t>
      </w:r>
    </w:p>
    <w:p w14:paraId="4495279F" w14:textId="3B87EBAC" w:rsidR="00F73492" w:rsidRPr="00CE2521" w:rsidRDefault="00C00C85" w:rsidP="00D459B9">
      <w:pPr>
        <w:pStyle w:val="ListParagraph"/>
        <w:numPr>
          <w:ilvl w:val="0"/>
          <w:numId w:val="58"/>
        </w:numPr>
        <w:spacing w:before="120" w:after="120"/>
      </w:pPr>
      <w:r w:rsidRPr="00C00C85">
        <w:rPr>
          <w:b/>
          <w:bCs/>
        </w:rPr>
        <w:t>The SCC should initiate a proceeding on developing uniform minimum data items in DER registries that should be adopted by all Virginia utilities</w:t>
      </w:r>
      <w:r w:rsidRPr="00CE2521">
        <w:t xml:space="preserve"> </w:t>
      </w:r>
      <w:r>
        <w:t>t</w:t>
      </w:r>
      <w:r w:rsidR="00F73492" w:rsidRPr="00CE2521">
        <w:t xml:space="preserve">o support reliability, PJM DER aggregation, and the estimation of the aggregate amount of DERs and appropriate modeling of these aggregated DERs to </w:t>
      </w:r>
      <w:r w:rsidR="00BB365B" w:rsidRPr="00CE2521">
        <w:t>implement</w:t>
      </w:r>
      <w:r w:rsidR="00F73492" w:rsidRPr="00CE2521">
        <w:t xml:space="preserve"> NERC MOD32-2 by Virginia utilities.</w:t>
      </w:r>
    </w:p>
    <w:p w14:paraId="291DD767" w14:textId="5F6883A4" w:rsidR="00F73492" w:rsidRPr="00C00C85" w:rsidRDefault="00F73492" w:rsidP="00982695">
      <w:pPr>
        <w:pStyle w:val="ListParagraph"/>
        <w:numPr>
          <w:ilvl w:val="0"/>
          <w:numId w:val="58"/>
        </w:numPr>
        <w:spacing w:before="120" w:after="120"/>
        <w:rPr>
          <w:b/>
          <w:bCs/>
        </w:rPr>
      </w:pPr>
      <w:r w:rsidRPr="00C00C85">
        <w:rPr>
          <w:b/>
          <w:bCs/>
        </w:rPr>
        <w:t xml:space="preserve">The SCC should undertake an assessment to determine </w:t>
      </w:r>
      <w:r w:rsidR="00AE0071" w:rsidRPr="00C00C85">
        <w:rPr>
          <w:b/>
          <w:bCs/>
        </w:rPr>
        <w:t xml:space="preserve">and clarify </w:t>
      </w:r>
      <w:r w:rsidRPr="00C00C85">
        <w:rPr>
          <w:b/>
          <w:bCs/>
        </w:rPr>
        <w:t>whether net energy metered DERs can provide ancillary services in PJM as allowed by FERC.</w:t>
      </w:r>
    </w:p>
    <w:p w14:paraId="7F23C36F" w14:textId="3E4FEF87" w:rsidR="00F73492" w:rsidRPr="00CE2521" w:rsidRDefault="00A51658" w:rsidP="00982695">
      <w:pPr>
        <w:pStyle w:val="ListParagraph"/>
        <w:numPr>
          <w:ilvl w:val="0"/>
          <w:numId w:val="58"/>
        </w:numPr>
        <w:spacing w:before="120" w:after="120"/>
      </w:pPr>
      <w:r w:rsidRPr="00C00C85">
        <w:rPr>
          <w:b/>
        </w:rPr>
        <w:t>The Governor’s Office,</w:t>
      </w:r>
      <w:r w:rsidR="00B63EC0" w:rsidRPr="00C00C85">
        <w:rPr>
          <w:b/>
        </w:rPr>
        <w:t xml:space="preserve"> </w:t>
      </w:r>
      <w:r w:rsidR="00F73492" w:rsidRPr="00C00C85">
        <w:rPr>
          <w:b/>
        </w:rPr>
        <w:t>GA</w:t>
      </w:r>
      <w:r w:rsidR="003D6843" w:rsidRPr="00C00C85">
        <w:rPr>
          <w:b/>
        </w:rPr>
        <w:t>, and</w:t>
      </w:r>
      <w:r w:rsidRPr="00C00C85">
        <w:rPr>
          <w:b/>
        </w:rPr>
        <w:t xml:space="preserve"> </w:t>
      </w:r>
      <w:r w:rsidR="000013B6" w:rsidRPr="00C00C85">
        <w:rPr>
          <w:b/>
        </w:rPr>
        <w:t>SCC</w:t>
      </w:r>
      <w:r w:rsidR="003D6843" w:rsidRPr="00C00C85">
        <w:rPr>
          <w:b/>
        </w:rPr>
        <w:t xml:space="preserve"> should s</w:t>
      </w:r>
      <w:r w:rsidR="00F73492" w:rsidRPr="00C00C85">
        <w:rPr>
          <w:b/>
        </w:rPr>
        <w:t xml:space="preserve">upport continued use and broad deployment of DERs </w:t>
      </w:r>
      <w:r w:rsidR="00F73492" w:rsidRPr="00CE2521">
        <w:t>to participate as demand-side resources in the PJM market</w:t>
      </w:r>
      <w:r w:rsidR="000013B6" w:rsidRPr="00CE2521">
        <w:t xml:space="preserve">, including through existing or new utility demand response programs. </w:t>
      </w:r>
    </w:p>
    <w:p w14:paraId="4CCA557D" w14:textId="353B57F6" w:rsidR="00A7116B" w:rsidRPr="00CE2521" w:rsidRDefault="00D42F2D" w:rsidP="006F09ED">
      <w:pPr>
        <w:pStyle w:val="Heading3"/>
        <w:rPr>
          <w:b/>
        </w:rPr>
      </w:pPr>
      <w:bookmarkStart w:id="752" w:name="_Toc239862908"/>
      <w:r w:rsidRPr="00CE2521">
        <w:rPr>
          <w:b/>
        </w:rPr>
        <w:t xml:space="preserve">Recommendation </w:t>
      </w:r>
      <w:r w:rsidR="00BD2342" w:rsidRPr="00CE2521">
        <w:rPr>
          <w:b/>
        </w:rPr>
        <w:t>6</w:t>
      </w:r>
      <w:r w:rsidRPr="00CE2521">
        <w:rPr>
          <w:b/>
        </w:rPr>
        <w:t xml:space="preserve">: </w:t>
      </w:r>
      <w:r w:rsidR="006C682F" w:rsidRPr="00CE2521">
        <w:rPr>
          <w:b/>
        </w:rPr>
        <w:t xml:space="preserve">Align </w:t>
      </w:r>
      <w:r w:rsidR="006D68AB" w:rsidRPr="00CE2521">
        <w:rPr>
          <w:b/>
        </w:rPr>
        <w:t>Utility Incentive</w:t>
      </w:r>
      <w:r w:rsidR="00951FA0" w:rsidRPr="00CE2521">
        <w:rPr>
          <w:b/>
        </w:rPr>
        <w:t xml:space="preserve"> Structure</w:t>
      </w:r>
      <w:r w:rsidR="006C682F" w:rsidRPr="00CE2521">
        <w:rPr>
          <w:b/>
        </w:rPr>
        <w:t>s</w:t>
      </w:r>
      <w:bookmarkEnd w:id="752"/>
      <w:r w:rsidR="0069738E" w:rsidRPr="00CE2521">
        <w:rPr>
          <w:b/>
        </w:rPr>
        <w:t xml:space="preserve"> </w:t>
      </w:r>
    </w:p>
    <w:p w14:paraId="72FB6EEE" w14:textId="3163CB94" w:rsidR="00910CA2" w:rsidRPr="00A86E33" w:rsidRDefault="00845EF6" w:rsidP="00CE2521">
      <w:pPr>
        <w:spacing w:before="120" w:after="120"/>
      </w:pPr>
      <w:bookmarkStart w:id="753" w:name="_Toc835434623"/>
      <w:bookmarkStart w:id="754" w:name="_Toc1754838249"/>
      <w:bookmarkStart w:id="755" w:name="_Toc506273664"/>
      <w:bookmarkStart w:id="756" w:name="_Toc660215551"/>
      <w:bookmarkStart w:id="757" w:name="_Toc1758551945"/>
      <w:bookmarkStart w:id="758" w:name="_Toc1053004979"/>
      <w:bookmarkStart w:id="759" w:name="_Toc847059816"/>
      <w:bookmarkStart w:id="760" w:name="_Toc1998017812"/>
      <w:bookmarkStart w:id="761" w:name="_Toc1002105502"/>
      <w:bookmarkStart w:id="762" w:name="_Toc1764651022"/>
      <w:bookmarkStart w:id="763" w:name="_Toc636092523"/>
      <w:bookmarkStart w:id="764" w:name="_Toc1940583678"/>
      <w:bookmarkStart w:id="765" w:name="_Toc1064497336"/>
      <w:bookmarkStart w:id="766" w:name="_Toc181897068"/>
      <w:bookmarkStart w:id="767" w:name="_Toc1730938133"/>
      <w:bookmarkStart w:id="768" w:name="_Toc494179257"/>
      <w:bookmarkStart w:id="769" w:name="_Toc194039636"/>
      <w:bookmarkStart w:id="770" w:name="_Toc486014123"/>
      <w:bookmarkStart w:id="771" w:name="_Toc1197305103"/>
      <w:bookmarkStart w:id="772" w:name="_Toc1255547560"/>
      <w:bookmarkStart w:id="773" w:name="_Toc1058366853"/>
      <w:bookmarkStart w:id="774" w:name="_Toc1223371490"/>
      <w:bookmarkStart w:id="775" w:name="_Toc298130108"/>
      <w:bookmarkStart w:id="776" w:name="_Toc1746788789"/>
      <w:bookmarkStart w:id="777" w:name="_Toc972030479"/>
      <w:bookmarkStart w:id="778" w:name="_Toc559156347"/>
      <w:bookmarkStart w:id="779" w:name="_Toc1379698725"/>
      <w:bookmarkStart w:id="780" w:name="_Toc1450207895"/>
      <w:bookmarkStart w:id="781" w:name="_Toc1314931215"/>
      <w:bookmarkStart w:id="782" w:name="_Toc1483820994"/>
      <w:bookmarkStart w:id="783" w:name="_Toc379806317"/>
      <w:bookmarkStart w:id="784" w:name="_Toc1686154181"/>
      <w:bookmarkStart w:id="785" w:name="_Toc1052921680"/>
      <w:bookmarkStart w:id="786" w:name="_Toc1495970751"/>
      <w:bookmarkStart w:id="787" w:name="_Toc1187695607"/>
      <w:bookmarkStart w:id="788" w:name="_Toc1996369232"/>
      <w:bookmarkStart w:id="789" w:name="_Toc405119360"/>
      <w:bookmarkStart w:id="790" w:name="_Toc767812473"/>
      <w:bookmarkStart w:id="791" w:name="_Toc1668244877"/>
      <w:bookmarkStart w:id="792" w:name="_Toc1419234001"/>
      <w:bookmarkStart w:id="793" w:name="_Toc1723603933"/>
      <w:bookmarkStart w:id="794" w:name="_Toc1730009532"/>
      <w:bookmarkStart w:id="795" w:name="_Toc2122927608"/>
      <w:bookmarkStart w:id="796" w:name="_Toc2028370538"/>
      <w:bookmarkStart w:id="797" w:name="_Toc1955546835"/>
      <w:bookmarkStart w:id="798" w:name="_Toc859685997"/>
      <w:bookmarkStart w:id="799" w:name="_Toc953731859"/>
      <w:bookmarkStart w:id="800" w:name="_Toc33704689"/>
      <w:bookmarkStart w:id="801" w:name="_Toc435076169"/>
      <w:r w:rsidRPr="00CE2521">
        <w:rPr>
          <w:b/>
        </w:rPr>
        <w:t>Finding</w:t>
      </w:r>
      <w:r w:rsidRPr="00A86E33">
        <w:t xml:space="preserve">: </w:t>
      </w:r>
      <w:r w:rsidR="00910CA2" w:rsidRPr="00A86E33">
        <w:t xml:space="preserve">The current utility regulatory structure </w:t>
      </w:r>
      <w:r w:rsidRPr="00A86E33">
        <w:t>in the Commonwealth</w:t>
      </w:r>
      <w:r w:rsidR="00910CA2" w:rsidRPr="00A86E33">
        <w:t xml:space="preserve"> does not incentivize Virginia's investor-owned utilities to support DER growth and aggregation.</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sidR="00C211F1" w:rsidRPr="00A86E33">
        <w:t xml:space="preserve"> This was flagged by </w:t>
      </w:r>
      <w:r w:rsidR="00C05CF8" w:rsidRPr="00A86E33">
        <w:t xml:space="preserve">some </w:t>
      </w:r>
      <w:r w:rsidR="00C211F1" w:rsidRPr="00A86E33">
        <w:t xml:space="preserve">Task Force members and </w:t>
      </w:r>
      <w:r w:rsidR="00C05CF8" w:rsidRPr="00A86E33">
        <w:t>public stakeholders</w:t>
      </w:r>
      <w:r w:rsidR="00C211F1" w:rsidRPr="00A86E33">
        <w:t xml:space="preserve"> as a </w:t>
      </w:r>
      <w:r w:rsidR="00C05CF8" w:rsidRPr="00A86E33">
        <w:t>barrier to broader deployment.</w:t>
      </w:r>
      <w:r w:rsidR="00910CA2" w:rsidRPr="00A86E33">
        <w:t xml:space="preserve"> </w:t>
      </w:r>
      <w:bookmarkStart w:id="802" w:name="_Toc1349561895"/>
      <w:bookmarkStart w:id="803" w:name="_Toc1047693463"/>
      <w:bookmarkStart w:id="804" w:name="_Toc16850536"/>
      <w:bookmarkStart w:id="805" w:name="_Toc1140805752"/>
      <w:bookmarkStart w:id="806" w:name="_Toc832824040"/>
      <w:bookmarkStart w:id="807" w:name="_Toc1962284458"/>
      <w:bookmarkStart w:id="808" w:name="_Toc2003940452"/>
      <w:bookmarkStart w:id="809" w:name="_Toc475878272"/>
      <w:bookmarkStart w:id="810" w:name="_Toc839612296"/>
      <w:bookmarkStart w:id="811" w:name="_Toc1630142356"/>
      <w:bookmarkStart w:id="812" w:name="_Toc538730444"/>
      <w:bookmarkStart w:id="813" w:name="_Toc988882351"/>
      <w:bookmarkStart w:id="814" w:name="_Toc1225459660"/>
      <w:bookmarkStart w:id="815" w:name="_Toc559400933"/>
      <w:bookmarkStart w:id="816" w:name="_Toc1529785439"/>
      <w:bookmarkStart w:id="817" w:name="_Toc776483737"/>
      <w:bookmarkStart w:id="818" w:name="_Toc984100713"/>
      <w:bookmarkStart w:id="819" w:name="_Toc684077677"/>
      <w:bookmarkStart w:id="820" w:name="_Toc406476284"/>
      <w:bookmarkStart w:id="821" w:name="_Toc1811571057"/>
      <w:bookmarkStart w:id="822" w:name="_Toc737338090"/>
      <w:bookmarkStart w:id="823" w:name="_Toc950817603"/>
      <w:bookmarkStart w:id="824" w:name="_Toc955917405"/>
      <w:bookmarkStart w:id="825" w:name="_Toc281713080"/>
      <w:bookmarkStart w:id="826" w:name="_Toc733087106"/>
      <w:bookmarkStart w:id="827" w:name="_Toc332112181"/>
      <w:bookmarkStart w:id="828" w:name="_Toc822656293"/>
      <w:bookmarkStart w:id="829" w:name="_Toc44028825"/>
      <w:bookmarkStart w:id="830" w:name="_Toc1454167669"/>
      <w:bookmarkStart w:id="831" w:name="_Toc1085656746"/>
      <w:bookmarkStart w:id="832" w:name="_Toc965862954"/>
      <w:bookmarkStart w:id="833" w:name="_Toc621540703"/>
      <w:bookmarkStart w:id="834" w:name="_Toc795234806"/>
      <w:bookmarkStart w:id="835" w:name="_Toc2005273321"/>
      <w:bookmarkStart w:id="836" w:name="_Toc1475263958"/>
      <w:bookmarkStart w:id="837" w:name="_Toc1743584388"/>
      <w:bookmarkStart w:id="838" w:name="_Toc1856583416"/>
      <w:bookmarkStart w:id="839" w:name="_Toc1448322018"/>
      <w:bookmarkStart w:id="840" w:name="_Toc1367274309"/>
      <w:bookmarkStart w:id="841" w:name="_Toc899307436"/>
      <w:bookmarkStart w:id="842" w:name="_Toc1118431231"/>
      <w:bookmarkStart w:id="843" w:name="_Toc114969468"/>
      <w:bookmarkStart w:id="844" w:name="_Toc1260061549"/>
      <w:bookmarkStart w:id="845" w:name="_Toc479720838"/>
      <w:bookmarkStart w:id="846" w:name="_Toc1449813416"/>
      <w:bookmarkStart w:id="847" w:name="_Toc953042380"/>
      <w:bookmarkStart w:id="848" w:name="_Toc1094648462"/>
      <w:bookmarkStart w:id="849" w:name="_Toc2038413423"/>
      <w:bookmarkStart w:id="850" w:name="_Toc1854028624"/>
      <w:r w:rsidR="00910CA2" w:rsidRPr="00A86E33">
        <w:t>Cost-of-service regulation rewards utility capital expenditures over operating-expense-classified DER/VPP spending, creating a structural financial bias against utility investment in third-party or utility-run DER/VPP programs even when they are cheaper than traditional infrastructure.</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sidR="000E5CA6" w:rsidRPr="00A86E33">
        <w:t xml:space="preserve"> </w:t>
      </w:r>
      <w:r w:rsidR="00A97818" w:rsidRPr="00CE2521">
        <w:t>This dynamic is compounded by an emerging cost allocation and equity concern: in some states, the utility bears the cost of grid infrastructure upgrades needed to accommodate DER</w:t>
      </w:r>
      <w:r w:rsidR="00037C9D" w:rsidRPr="00A86E33">
        <w:t>s</w:t>
      </w:r>
      <w:r w:rsidR="00A97818" w:rsidRPr="00CE2521">
        <w:t>, while in Virginia the homeowner or developer is often responsible for a share of that cost, raising open questions about equitable cost ownership and the transparency of the triggers that determine when a distribution upgrade cost is passed to the customer versus absorbed by the utility.</w:t>
      </w:r>
      <w:r w:rsidR="00A97818" w:rsidRPr="00A86E33">
        <w:t xml:space="preserve"> </w:t>
      </w:r>
    </w:p>
    <w:p w14:paraId="4BF7DD45" w14:textId="1A8FD80C" w:rsidR="00882745" w:rsidRPr="00A86E33" w:rsidRDefault="00E2059F" w:rsidP="00D459B9">
      <w:pPr>
        <w:spacing w:before="120" w:after="120"/>
      </w:pPr>
      <w:r w:rsidRPr="00A86E33">
        <w:rPr>
          <w:b/>
          <w:bCs/>
        </w:rPr>
        <w:t xml:space="preserve">Recommendation: </w:t>
      </w:r>
      <w:bookmarkStart w:id="851" w:name="_Toc468616917"/>
      <w:bookmarkStart w:id="852" w:name="_Toc1602297878"/>
      <w:bookmarkStart w:id="853" w:name="_Toc827875649"/>
      <w:bookmarkStart w:id="854" w:name="_Toc1180982755"/>
      <w:bookmarkStart w:id="855" w:name="_Toc866580859"/>
      <w:bookmarkStart w:id="856" w:name="_Toc2064743673"/>
      <w:bookmarkStart w:id="857" w:name="_Toc361338090"/>
      <w:bookmarkStart w:id="858" w:name="_Toc1781215534"/>
      <w:bookmarkStart w:id="859" w:name="_Toc1561578343"/>
      <w:bookmarkStart w:id="860" w:name="_Toc127970234"/>
      <w:bookmarkStart w:id="861" w:name="_Toc1139668494"/>
      <w:bookmarkStart w:id="862" w:name="_Toc526951100"/>
      <w:bookmarkStart w:id="863" w:name="_Toc781415365"/>
      <w:bookmarkStart w:id="864" w:name="_Toc851071014"/>
      <w:bookmarkStart w:id="865" w:name="_Toc804617291"/>
      <w:bookmarkStart w:id="866" w:name="_Toc88838825"/>
      <w:bookmarkStart w:id="867" w:name="_Toc1268769915"/>
      <w:bookmarkStart w:id="868" w:name="_Toc707724709"/>
      <w:bookmarkStart w:id="869" w:name="_Toc2015000787"/>
      <w:bookmarkStart w:id="870" w:name="_Toc1158030914"/>
      <w:bookmarkStart w:id="871" w:name="_Toc784365679"/>
      <w:bookmarkStart w:id="872" w:name="_Toc2007182398"/>
      <w:bookmarkStart w:id="873" w:name="_Toc1347860302"/>
      <w:bookmarkStart w:id="874" w:name="_Toc1149541856"/>
      <w:bookmarkStart w:id="875" w:name="_Toc1473116951"/>
      <w:bookmarkStart w:id="876" w:name="_Toc1785418502"/>
      <w:bookmarkStart w:id="877" w:name="_Toc1135518914"/>
      <w:bookmarkStart w:id="878" w:name="_Toc957044601"/>
      <w:bookmarkStart w:id="879" w:name="_Toc1168650923"/>
      <w:bookmarkStart w:id="880" w:name="_Toc548632009"/>
      <w:bookmarkStart w:id="881" w:name="_Toc1980139604"/>
      <w:bookmarkStart w:id="882" w:name="_Toc675050610"/>
      <w:bookmarkStart w:id="883" w:name="_Toc618145810"/>
      <w:bookmarkStart w:id="884" w:name="_Toc903078753"/>
      <w:bookmarkStart w:id="885" w:name="_Toc578485412"/>
      <w:bookmarkStart w:id="886" w:name="_Toc635932926"/>
      <w:bookmarkStart w:id="887" w:name="_Toc1713785227"/>
      <w:bookmarkStart w:id="888" w:name="_Toc608865835"/>
      <w:bookmarkStart w:id="889" w:name="_Toc808799812"/>
      <w:bookmarkStart w:id="890" w:name="_Toc115181052"/>
      <w:bookmarkStart w:id="891" w:name="_Toc12241965"/>
      <w:bookmarkStart w:id="892" w:name="_Toc1660605031"/>
      <w:bookmarkStart w:id="893" w:name="_Toc688484248"/>
      <w:bookmarkStart w:id="894" w:name="_Toc1828092787"/>
      <w:bookmarkStart w:id="895" w:name="_Toc1461433048"/>
      <w:bookmarkStart w:id="896" w:name="_Toc929151020"/>
      <w:bookmarkStart w:id="897" w:name="_Toc1727055080"/>
      <w:bookmarkStart w:id="898" w:name="_Toc802039480"/>
      <w:bookmarkStart w:id="899" w:name="_Toc180045030"/>
      <w:r w:rsidR="00882745" w:rsidRPr="00A86E33">
        <w:t>Align utility incentives with third party and utility administered VPP deployment - e.g., through performance-based regulation (PBR), return on equity (ROE) enhancement, shared savings mechanisms</w:t>
      </w:r>
      <w:r w:rsidR="00757932" w:rsidRPr="00A86E33">
        <w:rPr>
          <w:rStyle w:val="FootnoteReference"/>
        </w:rPr>
        <w:footnoteReference w:customMarkFollows="1" w:id="55"/>
        <w:t>*</w:t>
      </w:r>
      <w:r w:rsidR="00882745" w:rsidRPr="00A86E33">
        <w:t xml:space="preserve">, </w:t>
      </w:r>
      <w:r w:rsidR="00CC15C0" w:rsidRPr="00A86E33">
        <w:t xml:space="preserve">and/or </w:t>
      </w:r>
      <w:r w:rsidR="00882745" w:rsidRPr="00A86E33">
        <w:t xml:space="preserve">allowing capitalization on software deployments. </w:t>
      </w:r>
      <w:r w:rsidR="00945266" w:rsidRPr="00A86E33">
        <w:t xml:space="preserve">This will support closing the cost allocation gap that currently obscures whether DERs are competing on equal footing with traditional infrastructure investment. </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rsidR="00CE26EF" w:rsidRPr="00CE2521">
        <w:rPr>
          <w:b/>
        </w:rPr>
        <w:t xml:space="preserve">Actions </w:t>
      </w:r>
      <w:r w:rsidR="00847F17" w:rsidRPr="00CE2521">
        <w:rPr>
          <w:b/>
          <w:bCs/>
        </w:rPr>
        <w:t>could include:</w:t>
      </w:r>
    </w:p>
    <w:p w14:paraId="7EF07CC0" w14:textId="52EB49CA" w:rsidR="00882745" w:rsidRPr="0005554A" w:rsidRDefault="00FC668D" w:rsidP="00D459B9">
      <w:pPr>
        <w:pStyle w:val="ListParagraph"/>
        <w:numPr>
          <w:ilvl w:val="1"/>
          <w:numId w:val="135"/>
        </w:numPr>
        <w:spacing w:before="120" w:after="120"/>
      </w:pPr>
      <w:bookmarkStart w:id="900" w:name="_Toc284642749"/>
      <w:bookmarkStart w:id="901" w:name="_Toc1938098586"/>
      <w:bookmarkStart w:id="902" w:name="_Toc1389723362"/>
      <w:bookmarkStart w:id="903" w:name="_Toc1060297687"/>
      <w:bookmarkStart w:id="904" w:name="_Toc1759094928"/>
      <w:bookmarkStart w:id="905" w:name="_Toc482068125"/>
      <w:bookmarkStart w:id="906" w:name="_Toc1493842318"/>
      <w:bookmarkStart w:id="907" w:name="_Toc322541797"/>
      <w:bookmarkStart w:id="908" w:name="_Toc1518726355"/>
      <w:bookmarkStart w:id="909" w:name="_Toc1132214602"/>
      <w:bookmarkStart w:id="910" w:name="_Toc92030502"/>
      <w:bookmarkStart w:id="911" w:name="_Toc1854253437"/>
      <w:bookmarkStart w:id="912" w:name="_Toc708899615"/>
      <w:bookmarkStart w:id="913" w:name="_Toc989719828"/>
      <w:bookmarkStart w:id="914" w:name="_Toc93518274"/>
      <w:bookmarkStart w:id="915" w:name="_Toc1137870091"/>
      <w:bookmarkStart w:id="916" w:name="_Toc1891096606"/>
      <w:bookmarkStart w:id="917" w:name="_Toc474662273"/>
      <w:bookmarkStart w:id="918" w:name="_Toc1611679241"/>
      <w:bookmarkStart w:id="919" w:name="_Toc1167742535"/>
      <w:bookmarkStart w:id="920" w:name="_Toc1801914755"/>
      <w:bookmarkStart w:id="921" w:name="_Toc1053908568"/>
      <w:bookmarkStart w:id="922" w:name="_Toc288625466"/>
      <w:bookmarkStart w:id="923" w:name="_Toc2051570522"/>
      <w:bookmarkStart w:id="924" w:name="_Toc1935100284"/>
      <w:bookmarkStart w:id="925" w:name="_Toc299313338"/>
      <w:bookmarkStart w:id="926" w:name="_Toc1041121082"/>
      <w:bookmarkStart w:id="927" w:name="_Toc1498651883"/>
      <w:bookmarkStart w:id="928" w:name="_Toc268252478"/>
      <w:bookmarkStart w:id="929" w:name="_Toc637246395"/>
      <w:bookmarkStart w:id="930" w:name="_Toc1686934753"/>
      <w:bookmarkStart w:id="931" w:name="_Toc2050656391"/>
      <w:bookmarkStart w:id="932" w:name="_Toc328693887"/>
      <w:bookmarkStart w:id="933" w:name="_Toc991502673"/>
      <w:bookmarkStart w:id="934" w:name="_Toc492036684"/>
      <w:bookmarkStart w:id="935" w:name="_Toc837303399"/>
      <w:bookmarkStart w:id="936" w:name="_Toc2083537852"/>
      <w:bookmarkStart w:id="937" w:name="_Toc1123999424"/>
      <w:bookmarkStart w:id="938" w:name="_Toc1624060226"/>
      <w:bookmarkStart w:id="939" w:name="_Toc740936558"/>
      <w:bookmarkStart w:id="940" w:name="_Toc1405126943"/>
      <w:bookmarkStart w:id="941" w:name="_Toc957412313"/>
      <w:bookmarkStart w:id="942" w:name="_Toc1029645947"/>
      <w:bookmarkStart w:id="943" w:name="_Toc992162027"/>
      <w:bookmarkStart w:id="944" w:name="_Toc1181448490"/>
      <w:bookmarkStart w:id="945" w:name="_Toc1065430807"/>
      <w:bookmarkStart w:id="946" w:name="_Toc1195281985"/>
      <w:bookmarkStart w:id="947" w:name="_Toc234338693"/>
      <w:bookmarkStart w:id="948" w:name="_Toc2117202647"/>
      <w:r w:rsidRPr="00C00C85">
        <w:rPr>
          <w:b/>
          <w:bCs/>
        </w:rPr>
        <w:t xml:space="preserve">VA </w:t>
      </w:r>
      <w:r w:rsidR="000C3307" w:rsidRPr="00C00C85">
        <w:rPr>
          <w:b/>
          <w:bCs/>
        </w:rPr>
        <w:t>Energy should build</w:t>
      </w:r>
      <w:r w:rsidR="00CC2550" w:rsidRPr="00C00C85">
        <w:rPr>
          <w:b/>
          <w:bCs/>
        </w:rPr>
        <w:t xml:space="preserve"> on</w:t>
      </w:r>
      <w:r w:rsidR="007D239A" w:rsidRPr="00C00C85">
        <w:rPr>
          <w:b/>
          <w:bCs/>
        </w:rPr>
        <w:t xml:space="preserve"> recent progress from</w:t>
      </w:r>
      <w:r w:rsidR="00CC2550" w:rsidRPr="00C00C85">
        <w:rPr>
          <w:b/>
          <w:bCs/>
        </w:rPr>
        <w:t xml:space="preserve"> SB 251/HB 903</w:t>
      </w:r>
      <w:r w:rsidRPr="00C00C85">
        <w:rPr>
          <w:b/>
          <w:bCs/>
        </w:rPr>
        <w:t xml:space="preserve"> and</w:t>
      </w:r>
      <w:r w:rsidR="00CC2550" w:rsidRPr="00C00C85">
        <w:rPr>
          <w:b/>
          <w:bCs/>
        </w:rPr>
        <w:t xml:space="preserve"> </w:t>
      </w:r>
      <w:commentRangeStart w:id="949"/>
      <w:r w:rsidR="00C91AA5" w:rsidRPr="00C00C85">
        <w:rPr>
          <w:b/>
          <w:bCs/>
        </w:rPr>
        <w:t xml:space="preserve">develop and </w:t>
      </w:r>
      <w:commentRangeEnd w:id="949"/>
      <w:r w:rsidR="00AD04D5" w:rsidRPr="00C00C85">
        <w:rPr>
          <w:rStyle w:val="CommentReference"/>
          <w:b/>
          <w:bCs/>
          <w:sz w:val="22"/>
          <w:szCs w:val="22"/>
        </w:rPr>
        <w:commentReference w:id="949"/>
      </w:r>
      <w:r w:rsidR="00E73E98" w:rsidRPr="00C00C85">
        <w:rPr>
          <w:b/>
          <w:bCs/>
        </w:rPr>
        <w:t>recommend</w:t>
      </w:r>
      <w:r w:rsidR="00C73001" w:rsidRPr="00C00C85">
        <w:rPr>
          <w:b/>
          <w:bCs/>
        </w:rPr>
        <w:t xml:space="preserve"> </w:t>
      </w:r>
      <w:r w:rsidR="008F04D2" w:rsidRPr="00C00C85">
        <w:rPr>
          <w:b/>
          <w:bCs/>
        </w:rPr>
        <w:t>compensation mechanisms</w:t>
      </w:r>
      <w:r w:rsidR="00882745" w:rsidRPr="00C00C85">
        <w:rPr>
          <w:b/>
          <w:bCs/>
        </w:rPr>
        <w:t xml:space="preserve"> tied to DER/VPP metrics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sidR="008F04D2" w:rsidRPr="00CE2521">
        <w:t xml:space="preserve">, including </w:t>
      </w:r>
      <w:r w:rsidR="009A0896" w:rsidRPr="00CE2521">
        <w:t xml:space="preserve">a return on </w:t>
      </w:r>
      <w:r w:rsidR="006F397B" w:rsidRPr="00CE2521">
        <w:t>direct DER/VPP investments</w:t>
      </w:r>
      <w:r w:rsidR="00440087" w:rsidRPr="00CE2521">
        <w:t xml:space="preserve"> </w:t>
      </w:r>
      <w:r w:rsidR="0003475D" w:rsidRPr="00CE2521">
        <w:t xml:space="preserve">and </w:t>
      </w:r>
      <w:r w:rsidR="00440087" w:rsidRPr="00CE2521">
        <w:t>the annualized value of third</w:t>
      </w:r>
      <w:r w:rsidR="0009768D" w:rsidRPr="00CE2521">
        <w:t xml:space="preserve"> </w:t>
      </w:r>
      <w:r w:rsidR="00440087" w:rsidRPr="00CE2521">
        <w:t>party-owned DER services identified in distribution plans</w:t>
      </w:r>
      <w:r w:rsidR="00A62E78" w:rsidRPr="00CE2521">
        <w:t>.</w:t>
      </w:r>
    </w:p>
    <w:p w14:paraId="07A8C4EA" w14:textId="63A8081B" w:rsidR="00882745" w:rsidRPr="00045F13" w:rsidRDefault="00516375" w:rsidP="00D459B9">
      <w:pPr>
        <w:pStyle w:val="ListParagraph"/>
        <w:numPr>
          <w:ilvl w:val="1"/>
          <w:numId w:val="135"/>
        </w:numPr>
        <w:spacing w:before="120" w:after="120"/>
      </w:pPr>
      <w:bookmarkStart w:id="950" w:name="_Toc212919216"/>
      <w:bookmarkStart w:id="951" w:name="_Toc280468345"/>
      <w:bookmarkStart w:id="952" w:name="_Toc1463017192"/>
      <w:bookmarkStart w:id="953" w:name="_Toc2024889932"/>
      <w:bookmarkStart w:id="954" w:name="_Toc1550839172"/>
      <w:bookmarkStart w:id="955" w:name="_Toc1794825947"/>
      <w:bookmarkStart w:id="956" w:name="_Toc51132789"/>
      <w:bookmarkStart w:id="957" w:name="_Toc1899350686"/>
      <w:bookmarkStart w:id="958" w:name="_Toc468416273"/>
      <w:bookmarkStart w:id="959" w:name="_Toc84762753"/>
      <w:bookmarkStart w:id="960" w:name="_Toc60431868"/>
      <w:bookmarkStart w:id="961" w:name="_Toc2042194965"/>
      <w:bookmarkStart w:id="962" w:name="_Toc1867180010"/>
      <w:bookmarkStart w:id="963" w:name="_Toc238594936"/>
      <w:bookmarkStart w:id="964" w:name="_Toc1668353169"/>
      <w:bookmarkStart w:id="965" w:name="_Toc850488657"/>
      <w:bookmarkStart w:id="966" w:name="_Toc486594385"/>
      <w:bookmarkStart w:id="967" w:name="_Toc1043835306"/>
      <w:bookmarkStart w:id="968" w:name="_Toc1285444072"/>
      <w:bookmarkStart w:id="969" w:name="_Toc1760739389"/>
      <w:bookmarkStart w:id="970" w:name="_Toc1336899642"/>
      <w:bookmarkStart w:id="971" w:name="_Toc601102488"/>
      <w:bookmarkStart w:id="972" w:name="_Toc1582756183"/>
      <w:bookmarkStart w:id="973" w:name="_Toc235505898"/>
      <w:bookmarkStart w:id="974" w:name="_Toc1041995528"/>
      <w:bookmarkStart w:id="975" w:name="_Toc346849703"/>
      <w:bookmarkStart w:id="976" w:name="_Toc1856706319"/>
      <w:bookmarkStart w:id="977" w:name="_Toc427734580"/>
      <w:bookmarkStart w:id="978" w:name="_Toc139583814"/>
      <w:bookmarkStart w:id="979" w:name="_Toc773986088"/>
      <w:bookmarkStart w:id="980" w:name="_Toc791859261"/>
      <w:bookmarkStart w:id="981" w:name="_Toc1424875986"/>
      <w:bookmarkStart w:id="982" w:name="_Toc1847887813"/>
      <w:bookmarkStart w:id="983" w:name="_Toc1531424535"/>
      <w:bookmarkStart w:id="984" w:name="_Toc802700958"/>
      <w:bookmarkStart w:id="985" w:name="_Toc1462653486"/>
      <w:bookmarkStart w:id="986" w:name="_Toc459570156"/>
      <w:bookmarkStart w:id="987" w:name="_Toc2003523366"/>
      <w:bookmarkStart w:id="988" w:name="_Toc2063095272"/>
      <w:bookmarkStart w:id="989" w:name="_Toc1512331716"/>
      <w:bookmarkStart w:id="990" w:name="_Toc182232644"/>
      <w:bookmarkStart w:id="991" w:name="_Toc1665822366"/>
      <w:bookmarkStart w:id="992" w:name="_Toc1782723489"/>
      <w:bookmarkStart w:id="993" w:name="_Toc427599718"/>
      <w:bookmarkStart w:id="994" w:name="_Toc260129555"/>
      <w:bookmarkStart w:id="995" w:name="_Toc1857433245"/>
      <w:bookmarkStart w:id="996" w:name="_Toc1785257259"/>
      <w:bookmarkStart w:id="997" w:name="_Toc1247794768"/>
      <w:bookmarkStart w:id="998" w:name="_Toc1460611516"/>
      <w:r w:rsidRPr="00C00C85">
        <w:rPr>
          <w:b/>
          <w:bCs/>
        </w:rPr>
        <w:t>The General Assembly</w:t>
      </w:r>
      <w:r w:rsidR="006B0CE7" w:rsidRPr="00C00C85">
        <w:rPr>
          <w:b/>
          <w:bCs/>
        </w:rPr>
        <w:t xml:space="preserve"> should c</w:t>
      </w:r>
      <w:r w:rsidR="00882745" w:rsidRPr="00C00C85">
        <w:rPr>
          <w:b/>
          <w:bCs/>
        </w:rPr>
        <w:t>onsider requiring utilities to adopt a "Unified Cost Benefit Analysis" approach</w:t>
      </w:r>
      <w:r w:rsidR="00882745" w:rsidRPr="0005554A">
        <w:t xml:space="preserve"> that would quantify the social benefits of DERs.</w:t>
      </w:r>
      <w:r w:rsidR="00882745">
        <w:rPr>
          <w:color w:val="FF0000"/>
        </w:rPr>
        <w:t xml:space="preserve"> </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14:paraId="5ABEE4CF" w14:textId="48422CA6" w:rsidR="00180235" w:rsidRPr="006039BB" w:rsidRDefault="00FC657D" w:rsidP="00D459B9">
      <w:pPr>
        <w:pStyle w:val="ListParagraph"/>
        <w:numPr>
          <w:ilvl w:val="1"/>
          <w:numId w:val="135"/>
        </w:numPr>
        <w:spacing w:before="120" w:after="120"/>
      </w:pPr>
      <w:r w:rsidRPr="00C00C85">
        <w:rPr>
          <w:b/>
          <w:bCs/>
        </w:rPr>
        <w:t>The General Assembly should</w:t>
      </w:r>
      <w:r w:rsidR="00180235" w:rsidRPr="00C00C85">
        <w:rPr>
          <w:b/>
          <w:bCs/>
        </w:rPr>
        <w:t xml:space="preserve"> </w:t>
      </w:r>
      <w:r w:rsidRPr="00C00C85">
        <w:rPr>
          <w:b/>
          <w:bCs/>
        </w:rPr>
        <w:t>r</w:t>
      </w:r>
      <w:r w:rsidR="00180235" w:rsidRPr="00C00C85">
        <w:rPr>
          <w:b/>
          <w:bCs/>
        </w:rPr>
        <w:t>equire a standardized methodology for allocating distribution upgrade costs</w:t>
      </w:r>
      <w:r w:rsidR="00180235" w:rsidRPr="00180235">
        <w:t xml:space="preserve"> between the utility and the customer/developer, including clear, transparent triggers for when a distribution cost is passed through to the customer.</w:t>
      </w:r>
    </w:p>
    <w:p w14:paraId="1FD119DB" w14:textId="0D429380" w:rsidR="00951FA0" w:rsidRDefault="007641FC" w:rsidP="00D459B9">
      <w:pPr>
        <w:pStyle w:val="ListParagraph"/>
        <w:numPr>
          <w:ilvl w:val="1"/>
          <w:numId w:val="135"/>
        </w:numPr>
        <w:spacing w:before="120" w:after="120"/>
      </w:pPr>
      <w:r w:rsidRPr="007641FC">
        <w:t xml:space="preserve">As GTSA provisions approaching their 2028 </w:t>
      </w:r>
      <w:r w:rsidR="00404411">
        <w:t>expiration</w:t>
      </w:r>
      <w:r w:rsidR="00404411" w:rsidRPr="007641FC">
        <w:t xml:space="preserve"> </w:t>
      </w:r>
      <w:r w:rsidRPr="007641FC">
        <w:t xml:space="preserve">are reviewed, </w:t>
      </w:r>
      <w:r w:rsidR="005A2682">
        <w:t xml:space="preserve">the General Assembly should </w:t>
      </w:r>
      <w:r w:rsidRPr="007641FC">
        <w:t xml:space="preserve">evaluate whether the successor distribution investment framework should explicitly authorize and incentivize </w:t>
      </w:r>
      <w:commentRangeStart w:id="999"/>
      <w:r w:rsidR="00E52371">
        <w:t xml:space="preserve">cost-effective </w:t>
      </w:r>
      <w:commentRangeEnd w:id="999"/>
      <w:r w:rsidR="00E52371" w:rsidRPr="007641FC">
        <w:rPr>
          <w:rStyle w:val="CommentReference"/>
          <w:sz w:val="22"/>
          <w:szCs w:val="22"/>
        </w:rPr>
        <w:commentReference w:id="999"/>
      </w:r>
      <w:r w:rsidRPr="007641FC">
        <w:t>DER/VPP-related capital and operating expenditures.</w:t>
      </w:r>
    </w:p>
    <w:p w14:paraId="12855D56" w14:textId="1AA1A566" w:rsidR="00951FA0" w:rsidRPr="00CE2521" w:rsidRDefault="00951FA0" w:rsidP="00D459B9">
      <w:pPr>
        <w:pStyle w:val="Heading3"/>
        <w:spacing w:before="120" w:after="120"/>
        <w:rPr>
          <w:b/>
        </w:rPr>
      </w:pPr>
      <w:bookmarkStart w:id="1000" w:name="_Toc239862909"/>
      <w:r w:rsidRPr="00CE2521">
        <w:rPr>
          <w:b/>
        </w:rPr>
        <w:t xml:space="preserve">Recommendation </w:t>
      </w:r>
      <w:r w:rsidR="00BD2342" w:rsidRPr="00CE2521">
        <w:rPr>
          <w:b/>
        </w:rPr>
        <w:t>7</w:t>
      </w:r>
      <w:r w:rsidRPr="00CE2521">
        <w:rPr>
          <w:b/>
        </w:rPr>
        <w:t xml:space="preserve">: </w:t>
      </w:r>
      <w:r w:rsidR="006C682F" w:rsidRPr="00CE2521">
        <w:rPr>
          <w:b/>
        </w:rPr>
        <w:t xml:space="preserve">Integrate DERs &amp; VPPs into </w:t>
      </w:r>
      <w:r w:rsidRPr="00CE2521">
        <w:rPr>
          <w:b/>
        </w:rPr>
        <w:t xml:space="preserve">Utility </w:t>
      </w:r>
      <w:r w:rsidR="009A7A46" w:rsidRPr="00CE2521">
        <w:rPr>
          <w:b/>
        </w:rPr>
        <w:t>Planning</w:t>
      </w:r>
      <w:r w:rsidRPr="00CE2521">
        <w:rPr>
          <w:b/>
        </w:rPr>
        <w:t xml:space="preserve"> </w:t>
      </w:r>
      <w:r w:rsidR="002203E2" w:rsidRPr="00CE2521">
        <w:rPr>
          <w:b/>
        </w:rPr>
        <w:t>&amp; Operations</w:t>
      </w:r>
      <w:bookmarkEnd w:id="1000"/>
      <w:r w:rsidR="002203E2" w:rsidRPr="00CE2521">
        <w:rPr>
          <w:b/>
        </w:rPr>
        <w:t xml:space="preserve"> </w:t>
      </w:r>
    </w:p>
    <w:p w14:paraId="782D353C" w14:textId="54774981" w:rsidR="002E392F" w:rsidRDefault="002B003D">
      <w:pPr>
        <w:spacing w:before="120" w:after="120"/>
      </w:pPr>
      <w:bookmarkStart w:id="1001" w:name="_Toc1738053429"/>
      <w:bookmarkStart w:id="1002" w:name="_Toc888381196"/>
      <w:bookmarkStart w:id="1003" w:name="_Toc898747359"/>
      <w:bookmarkStart w:id="1004" w:name="_Toc167131179"/>
      <w:bookmarkStart w:id="1005" w:name="_Toc1981374191"/>
      <w:bookmarkStart w:id="1006" w:name="_Toc335737568"/>
      <w:bookmarkStart w:id="1007" w:name="_Toc884577192"/>
      <w:bookmarkStart w:id="1008" w:name="_Toc1300454775"/>
      <w:bookmarkStart w:id="1009" w:name="_Toc802890393"/>
      <w:bookmarkStart w:id="1010" w:name="_Toc1061960981"/>
      <w:bookmarkStart w:id="1011" w:name="_Toc1824251039"/>
      <w:bookmarkStart w:id="1012" w:name="_Toc1236026255"/>
      <w:bookmarkStart w:id="1013" w:name="_Toc166936450"/>
      <w:bookmarkStart w:id="1014" w:name="_Toc1819275071"/>
      <w:bookmarkStart w:id="1015" w:name="_Toc1226740004"/>
      <w:bookmarkStart w:id="1016" w:name="_Toc1764358671"/>
      <w:bookmarkStart w:id="1017" w:name="_Toc41497504"/>
      <w:bookmarkStart w:id="1018" w:name="_Toc692253766"/>
      <w:bookmarkStart w:id="1019" w:name="_Toc1712069465"/>
      <w:bookmarkStart w:id="1020" w:name="_Toc1123550840"/>
      <w:bookmarkStart w:id="1021" w:name="_Toc2119867777"/>
      <w:bookmarkStart w:id="1022" w:name="_Toc638255297"/>
      <w:bookmarkStart w:id="1023" w:name="_Toc499270558"/>
      <w:bookmarkStart w:id="1024" w:name="_Toc332990006"/>
      <w:bookmarkStart w:id="1025" w:name="_Toc913722422"/>
      <w:bookmarkStart w:id="1026" w:name="_Toc1688823731"/>
      <w:bookmarkStart w:id="1027" w:name="_Toc683475762"/>
      <w:bookmarkStart w:id="1028" w:name="_Toc1289056234"/>
      <w:bookmarkStart w:id="1029" w:name="_Toc2104442287"/>
      <w:bookmarkStart w:id="1030" w:name="_Toc176782852"/>
      <w:bookmarkStart w:id="1031" w:name="_Toc537001341"/>
      <w:bookmarkStart w:id="1032" w:name="_Toc969808304"/>
      <w:bookmarkStart w:id="1033" w:name="_Toc1554739005"/>
      <w:bookmarkStart w:id="1034" w:name="_Toc972192025"/>
      <w:bookmarkStart w:id="1035" w:name="_Toc2125825254"/>
      <w:bookmarkStart w:id="1036" w:name="_Toc2016027634"/>
      <w:bookmarkStart w:id="1037" w:name="_Toc436370164"/>
      <w:bookmarkStart w:id="1038" w:name="_Toc1592326084"/>
      <w:bookmarkStart w:id="1039" w:name="_Toc629366061"/>
      <w:bookmarkStart w:id="1040" w:name="_Toc1023990728"/>
      <w:bookmarkStart w:id="1041" w:name="_Toc1821064754"/>
      <w:bookmarkStart w:id="1042" w:name="_Toc683449962"/>
      <w:bookmarkStart w:id="1043" w:name="_Toc1347611408"/>
      <w:bookmarkStart w:id="1044" w:name="_Toc1674464953"/>
      <w:bookmarkStart w:id="1045" w:name="_Toc2032862108"/>
      <w:bookmarkStart w:id="1046" w:name="_Toc1030082833"/>
      <w:bookmarkStart w:id="1047" w:name="_Toc1331544410"/>
      <w:bookmarkStart w:id="1048" w:name="_Toc957215869"/>
      <w:bookmarkStart w:id="1049" w:name="_Toc1570791858"/>
      <w:r w:rsidRPr="00CE2521">
        <w:rPr>
          <w:b/>
        </w:rPr>
        <w:t>Finding</w:t>
      </w:r>
      <w:r>
        <w:t xml:space="preserve">: </w:t>
      </w:r>
      <w:r w:rsidR="009E5240" w:rsidRPr="009E5240">
        <w:t>Integrating DERs and VPPs into utility planning and operations is necessary to capture their full affordability, reliability, and infrastructure-deferral value. For example, a VPP intended to defer a distribution upgrade must be identified, procured, and incorporated into utility planning to avoid or postpone that investment.</w:t>
      </w:r>
      <w:r w:rsidR="009E5240">
        <w:t xml:space="preserve"> </w:t>
      </w:r>
      <w:r w:rsidR="00A84D0F" w:rsidRPr="00A86E33">
        <w:t>Current utility planning approaches make it hard to see whether DERs are weighed on equal footing with traditional infrastructure, risking over-building that DERs could have deferred.</w:t>
      </w:r>
      <w:r w:rsidR="00A84D0F">
        <w:t xml:space="preserve"> Integrating DERs and VPPs into utility planning </w:t>
      </w:r>
      <w:r w:rsidR="003168AE">
        <w:t>is</w:t>
      </w:r>
      <w:r w:rsidR="009E5240">
        <w:t xml:space="preserve"> </w:t>
      </w:r>
      <w:r w:rsidR="00882745" w:rsidRPr="008C61FE">
        <w:t xml:space="preserve">increasingly becoming a preferred practice in many states. HB 434 / SB 621 (grid utilization metrics) and HB 429 (IRP reform bill requiring VPPs be evaluated in grid planning) have recently established a strong foundation for incorporating DERs in distribution planning. </w:t>
      </w:r>
      <w:r w:rsidR="00DD1F20">
        <w:t>The Task Force can</w:t>
      </w:r>
      <w:r w:rsidR="00882745" w:rsidRPr="008C61FE" w:rsidDel="00DD1F20">
        <w:t xml:space="preserve"> </w:t>
      </w:r>
      <w:r w:rsidR="00882745" w:rsidRPr="008C61FE">
        <w:t>continue to closely monitor ongoing proceedings to ensure outputs from this legislation are consistent with their intended purpose and supportive of DER/VPP planning objectives</w:t>
      </w:r>
      <w:r w:rsidR="002E392F">
        <w:t xml:space="preserve">. </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14:paraId="73A9A9CA" w14:textId="36BB2AEF" w:rsidR="008A01DF" w:rsidRDefault="00E41048">
      <w:pPr>
        <w:spacing w:before="120" w:after="120"/>
      </w:pPr>
      <w:r w:rsidRPr="00E41048">
        <w:t>Task Force members also identified a longer-term opportunity to evolve from broad, time-limited peak-shaving programs toward technology-inclusive, feeder-level orchestration</w:t>
      </w:r>
      <w:r>
        <w:t xml:space="preserve"> of all types of DERs and VPPs</w:t>
      </w:r>
      <w:r w:rsidR="008D057D">
        <w:t xml:space="preserve"> that </w:t>
      </w:r>
      <w:r w:rsidR="00AD09AC" w:rsidRPr="002E392F">
        <w:t>respond</w:t>
      </w:r>
      <w:r w:rsidR="002E392F" w:rsidRPr="002E392F">
        <w:t xml:space="preserve"> to actual local grid needs and avoid creating secondary peaks.</w:t>
      </w:r>
      <w:r w:rsidR="0012472E" w:rsidRPr="0012472E">
        <w:t xml:space="preserve"> </w:t>
      </w:r>
      <w:r w:rsidR="0012472E">
        <w:t xml:space="preserve">Using </w:t>
      </w:r>
      <w:r w:rsidR="0012472E" w:rsidRPr="0012472E">
        <w:t xml:space="preserve">large-load and data-center flexibility </w:t>
      </w:r>
      <w:r w:rsidR="0012472E">
        <w:t xml:space="preserve">was noted as </w:t>
      </w:r>
      <w:r w:rsidR="0012472E" w:rsidRPr="0012472E">
        <w:t xml:space="preserve">an early demonstration </w:t>
      </w:r>
      <w:r w:rsidR="0012472E">
        <w:t>opportunity of this more advanced model</w:t>
      </w:r>
      <w:r w:rsidR="0012472E" w:rsidRPr="0012472E">
        <w:t xml:space="preserve">—linking flexible demand and DER deployment to </w:t>
      </w:r>
      <w:r w:rsidR="002E2C58">
        <w:t xml:space="preserve">address </w:t>
      </w:r>
      <w:r w:rsidR="0012472E" w:rsidRPr="0012472E">
        <w:t>local interconnection, distribution, and capacity constraints rather than treating it solely as conventional peak reduction. New Jersey’s distribution-level orchestration approach was cited as a relevant longer-term reference, while near-term peak shaving, managed charging, storage, and large-load flexibility programs can build the data, customer base, and operational experience needed to support more sophisticated coordination</w:t>
      </w:r>
      <w:r w:rsidR="00B266CE">
        <w:t xml:space="preserve">. </w:t>
      </w:r>
      <w:r w:rsidR="0012472E">
        <w:t xml:space="preserve">Close collaboration with and support for utilities is critical to achieve effective integration of these assets into utility planning and ongoing operations and grid orchestration. </w:t>
      </w:r>
    </w:p>
    <w:p w14:paraId="34776D3A" w14:textId="4F98FAB4" w:rsidR="00882745" w:rsidRDefault="00882745" w:rsidP="00D459B9">
      <w:pPr>
        <w:spacing w:before="120" w:after="120"/>
      </w:pPr>
      <w:r>
        <w:rPr>
          <w:b/>
          <w:bCs/>
        </w:rPr>
        <w:t>Recommend</w:t>
      </w:r>
      <w:r w:rsidR="00CE3CDA">
        <w:rPr>
          <w:b/>
          <w:bCs/>
        </w:rPr>
        <w:t>ation</w:t>
      </w:r>
      <w:r>
        <w:t>:</w:t>
      </w:r>
      <w:r w:rsidR="004A6373">
        <w:t xml:space="preserve"> </w:t>
      </w:r>
      <w:r w:rsidR="004A6373" w:rsidRPr="004A6373">
        <w:t xml:space="preserve">Virginia should </w:t>
      </w:r>
      <w:r w:rsidR="00DA20FA">
        <w:t>continue to support</w:t>
      </w:r>
      <w:r w:rsidR="004A6373" w:rsidRPr="004A6373" w:rsidDel="00DA20FA">
        <w:t xml:space="preserve"> </w:t>
      </w:r>
      <w:r w:rsidR="004A6373" w:rsidRPr="004A6373">
        <w:t xml:space="preserve">distribution planning processes </w:t>
      </w:r>
      <w:r w:rsidR="00B266CE">
        <w:t xml:space="preserve">and integrating into utility operations </w:t>
      </w:r>
      <w:r w:rsidR="004A6373" w:rsidRPr="004A6373">
        <w:t>that give DERs equal footing with traditional infrastructure, supported by public hosting-capacity data and a standardized NWA methodology, and should ensure recent planning-related legislation (HB 434, SB 621, HB 429) is implemented in a manner that fully integrates DER/VPP forecasting into distribution and resource planning.</w:t>
      </w:r>
      <w:r w:rsidR="00CE3CDA">
        <w:t xml:space="preserve"> </w:t>
      </w:r>
      <w:r w:rsidR="00CE3CDA" w:rsidRPr="00CE2521">
        <w:rPr>
          <w:b/>
        </w:rPr>
        <w:t xml:space="preserve">Actions </w:t>
      </w:r>
      <w:r w:rsidR="00B01FA2" w:rsidRPr="00CE2521">
        <w:rPr>
          <w:b/>
        </w:rPr>
        <w:t xml:space="preserve">could </w:t>
      </w:r>
      <w:r w:rsidR="00B01FA2" w:rsidRPr="00CE2521">
        <w:rPr>
          <w:b/>
          <w:bCs/>
        </w:rPr>
        <w:t>i</w:t>
      </w:r>
      <w:r w:rsidR="00CE3CDA" w:rsidRPr="00CE2521">
        <w:rPr>
          <w:b/>
        </w:rPr>
        <w:t>nclude:</w:t>
      </w:r>
    </w:p>
    <w:p w14:paraId="08F7C718" w14:textId="2BA69011" w:rsidR="00DF71CF" w:rsidRPr="003C4E04" w:rsidRDefault="006E0F1B" w:rsidP="00FE56BD">
      <w:pPr>
        <w:pStyle w:val="ListParagraph"/>
        <w:numPr>
          <w:ilvl w:val="0"/>
          <w:numId w:val="147"/>
        </w:numPr>
        <w:spacing w:before="120" w:after="120"/>
      </w:pPr>
      <w:bookmarkStart w:id="1050" w:name="_Toc1156653389"/>
      <w:bookmarkStart w:id="1051" w:name="_Toc1954098678"/>
      <w:bookmarkStart w:id="1052" w:name="_Toc1770190335"/>
      <w:bookmarkStart w:id="1053" w:name="_Toc498240607"/>
      <w:bookmarkStart w:id="1054" w:name="_Toc1741606117"/>
      <w:bookmarkStart w:id="1055" w:name="_Toc1202501864"/>
      <w:bookmarkStart w:id="1056" w:name="_Toc1742881749"/>
      <w:bookmarkStart w:id="1057" w:name="_Toc1411826660"/>
      <w:bookmarkStart w:id="1058" w:name="_Toc2144872509"/>
      <w:bookmarkStart w:id="1059" w:name="_Toc465152239"/>
      <w:bookmarkStart w:id="1060" w:name="_Toc442072805"/>
      <w:bookmarkStart w:id="1061" w:name="_Toc415123746"/>
      <w:bookmarkStart w:id="1062" w:name="_Toc113766028"/>
      <w:bookmarkStart w:id="1063" w:name="_Toc18250285"/>
      <w:bookmarkStart w:id="1064" w:name="_Toc819513362"/>
      <w:bookmarkStart w:id="1065" w:name="_Toc1918345020"/>
      <w:bookmarkStart w:id="1066" w:name="_Toc1757840152"/>
      <w:bookmarkStart w:id="1067" w:name="_Toc2055442634"/>
      <w:bookmarkStart w:id="1068" w:name="_Toc1194541978"/>
      <w:bookmarkStart w:id="1069" w:name="_Toc793805259"/>
      <w:bookmarkStart w:id="1070" w:name="_Toc1413046521"/>
      <w:bookmarkStart w:id="1071" w:name="_Toc59198299"/>
      <w:bookmarkStart w:id="1072" w:name="_Toc1245001758"/>
      <w:bookmarkStart w:id="1073" w:name="_Toc1136700121"/>
      <w:bookmarkStart w:id="1074" w:name="_Toc1783695540"/>
      <w:bookmarkStart w:id="1075" w:name="_Toc1776617460"/>
      <w:bookmarkStart w:id="1076" w:name="_Toc771555047"/>
      <w:bookmarkStart w:id="1077" w:name="_Toc1107084422"/>
      <w:bookmarkStart w:id="1078" w:name="_Toc1063456785"/>
      <w:bookmarkStart w:id="1079" w:name="_Toc1100736259"/>
      <w:bookmarkStart w:id="1080" w:name="_Toc1336638595"/>
      <w:bookmarkStart w:id="1081" w:name="_Toc996383380"/>
      <w:bookmarkStart w:id="1082" w:name="_Toc1262680086"/>
      <w:bookmarkStart w:id="1083" w:name="_Toc1237092664"/>
      <w:bookmarkStart w:id="1084" w:name="_Toc1335916361"/>
      <w:bookmarkStart w:id="1085" w:name="_Toc140296306"/>
      <w:bookmarkStart w:id="1086" w:name="_Toc1795082009"/>
      <w:bookmarkStart w:id="1087" w:name="_Toc1460097816"/>
      <w:bookmarkStart w:id="1088" w:name="_Toc1003309571"/>
      <w:bookmarkStart w:id="1089" w:name="_Toc1533299473"/>
      <w:bookmarkStart w:id="1090" w:name="_Toc1111849861"/>
      <w:bookmarkStart w:id="1091" w:name="_Toc74091488"/>
      <w:bookmarkStart w:id="1092" w:name="_Toc660021168"/>
      <w:bookmarkStart w:id="1093" w:name="_Toc1219872218"/>
      <w:bookmarkStart w:id="1094" w:name="_Toc2111337265"/>
      <w:bookmarkStart w:id="1095" w:name="_Toc374556223"/>
      <w:bookmarkStart w:id="1096" w:name="_Toc2043518762"/>
      <w:bookmarkStart w:id="1097" w:name="_Toc1900900617"/>
      <w:bookmarkStart w:id="1098" w:name="_Toc1060569100"/>
      <w:r w:rsidRPr="00C00C85">
        <w:rPr>
          <w:b/>
          <w:bCs/>
        </w:rPr>
        <w:t>The General Assembly should r</w:t>
      </w:r>
      <w:r w:rsidR="00882745" w:rsidRPr="00C00C85">
        <w:rPr>
          <w:b/>
          <w:bCs/>
        </w:rPr>
        <w:t>equire Dominion</w:t>
      </w:r>
      <w:r w:rsidRPr="00C00C85">
        <w:rPr>
          <w:b/>
          <w:bCs/>
        </w:rPr>
        <w:t xml:space="preserve"> and </w:t>
      </w:r>
      <w:r w:rsidR="00882745" w:rsidRPr="00C00C85">
        <w:rPr>
          <w:b/>
          <w:bCs/>
        </w:rPr>
        <w:t>APCo</w:t>
      </w:r>
      <w:r w:rsidR="008D27C7" w:rsidRPr="00C00C85">
        <w:rPr>
          <w:b/>
          <w:bCs/>
        </w:rPr>
        <w:t>’s</w:t>
      </w:r>
      <w:r w:rsidR="00882745" w:rsidRPr="00C00C85">
        <w:rPr>
          <w:b/>
          <w:bCs/>
        </w:rPr>
        <w:t xml:space="preserve"> distribution plan as part of</w:t>
      </w:r>
      <w:r w:rsidR="00442E50" w:rsidRPr="00C00C85">
        <w:rPr>
          <w:b/>
          <w:bCs/>
        </w:rPr>
        <w:t xml:space="preserve"> </w:t>
      </w:r>
      <w:r w:rsidR="00882745" w:rsidRPr="00C00C85">
        <w:rPr>
          <w:b/>
          <w:bCs/>
        </w:rPr>
        <w:t>the</w:t>
      </w:r>
      <w:r w:rsidR="008D27C7" w:rsidRPr="00C00C85">
        <w:rPr>
          <w:b/>
          <w:bCs/>
        </w:rPr>
        <w:t>ir</w:t>
      </w:r>
      <w:r w:rsidR="00882745" w:rsidRPr="00C00C85">
        <w:rPr>
          <w:b/>
          <w:bCs/>
        </w:rPr>
        <w:t xml:space="preserve"> IRP</w:t>
      </w:r>
      <w:r w:rsidR="00CF47D1" w:rsidRPr="00C00C85">
        <w:rPr>
          <w:b/>
          <w:bCs/>
        </w:rPr>
        <w:t xml:space="preserve">s </w:t>
      </w:r>
      <w:r w:rsidR="005757FE" w:rsidRPr="00C00C85">
        <w:rPr>
          <w:b/>
          <w:bCs/>
        </w:rPr>
        <w:t>to</w:t>
      </w:r>
      <w:r w:rsidR="00882745" w:rsidRPr="00C00C85">
        <w:rPr>
          <w:b/>
          <w:bCs/>
        </w:rPr>
        <w:t xml:space="preserve"> us</w:t>
      </w:r>
      <w:r w:rsidR="005757FE" w:rsidRPr="00C00C85">
        <w:rPr>
          <w:b/>
          <w:bCs/>
        </w:rPr>
        <w:t>e</w:t>
      </w:r>
      <w:r w:rsidR="00882745" w:rsidRPr="00C00C85">
        <w:rPr>
          <w:b/>
          <w:bCs/>
        </w:rPr>
        <w:t xml:space="preserve"> granular (feeder/transformer-level) demand and DER-adoption forecasts</w:t>
      </w:r>
      <w:r w:rsidR="00882745" w:rsidRPr="003C4E04">
        <w:t>, with DER procurement targets and a formal stakeholder review process (Colorado SB19-236 model</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rsidR="00882745" w:rsidRPr="003C4E04">
        <w:t>)</w:t>
      </w:r>
      <w:r w:rsidR="007B02E3">
        <w:t>.</w:t>
      </w:r>
    </w:p>
    <w:p w14:paraId="76E4D1AC" w14:textId="525C345A" w:rsidR="00DF71CF" w:rsidRPr="003C4E04" w:rsidRDefault="006E0F1B" w:rsidP="00FE56BD">
      <w:pPr>
        <w:pStyle w:val="ListParagraph"/>
        <w:numPr>
          <w:ilvl w:val="0"/>
          <w:numId w:val="147"/>
        </w:numPr>
        <w:spacing w:before="120" w:after="120"/>
      </w:pPr>
      <w:bookmarkStart w:id="1099" w:name="_Toc2011367459"/>
      <w:bookmarkStart w:id="1100" w:name="_Toc1475663124"/>
      <w:bookmarkStart w:id="1101" w:name="_Toc1668678104"/>
      <w:bookmarkStart w:id="1102" w:name="_Toc1283956924"/>
      <w:bookmarkStart w:id="1103" w:name="_Toc2022286328"/>
      <w:bookmarkStart w:id="1104" w:name="_Toc676375403"/>
      <w:bookmarkStart w:id="1105" w:name="_Toc52262867"/>
      <w:bookmarkStart w:id="1106" w:name="_Toc1233837563"/>
      <w:bookmarkStart w:id="1107" w:name="_Toc1488299498"/>
      <w:bookmarkStart w:id="1108" w:name="_Toc1138105797"/>
      <w:bookmarkStart w:id="1109" w:name="_Toc1557132901"/>
      <w:bookmarkStart w:id="1110" w:name="_Toc191187373"/>
      <w:bookmarkStart w:id="1111" w:name="_Toc1216743865"/>
      <w:bookmarkStart w:id="1112" w:name="_Toc1420542662"/>
      <w:bookmarkStart w:id="1113" w:name="_Toc1584141110"/>
      <w:bookmarkStart w:id="1114" w:name="_Toc1695318407"/>
      <w:bookmarkStart w:id="1115" w:name="_Toc1240454993"/>
      <w:bookmarkStart w:id="1116" w:name="_Toc200427057"/>
      <w:bookmarkStart w:id="1117" w:name="_Toc1367098862"/>
      <w:bookmarkStart w:id="1118" w:name="_Toc55255488"/>
      <w:bookmarkStart w:id="1119" w:name="_Toc74902339"/>
      <w:bookmarkStart w:id="1120" w:name="_Toc1226771290"/>
      <w:bookmarkStart w:id="1121" w:name="_Toc1461202375"/>
      <w:bookmarkStart w:id="1122" w:name="_Toc1089172489"/>
      <w:bookmarkStart w:id="1123" w:name="_Toc63899433"/>
      <w:bookmarkStart w:id="1124" w:name="_Toc969035791"/>
      <w:bookmarkStart w:id="1125" w:name="_Toc2099748273"/>
      <w:bookmarkStart w:id="1126" w:name="_Toc2114893640"/>
      <w:bookmarkStart w:id="1127" w:name="_Toc117137675"/>
      <w:bookmarkStart w:id="1128" w:name="_Toc149878936"/>
      <w:bookmarkStart w:id="1129" w:name="_Toc244692795"/>
      <w:bookmarkStart w:id="1130" w:name="_Toc1473241427"/>
      <w:bookmarkStart w:id="1131" w:name="_Toc1265865636"/>
      <w:bookmarkStart w:id="1132" w:name="_Toc1712653993"/>
      <w:bookmarkStart w:id="1133" w:name="_Toc55452725"/>
      <w:bookmarkStart w:id="1134" w:name="_Toc1418777348"/>
      <w:bookmarkStart w:id="1135" w:name="_Toc470413087"/>
      <w:bookmarkStart w:id="1136" w:name="_Toc454896556"/>
      <w:bookmarkStart w:id="1137" w:name="_Toc1696399629"/>
      <w:bookmarkStart w:id="1138" w:name="_Toc1314359784"/>
      <w:bookmarkStart w:id="1139" w:name="_Toc1079331912"/>
      <w:bookmarkStart w:id="1140" w:name="_Toc708519646"/>
      <w:bookmarkStart w:id="1141" w:name="_Toc1962731038"/>
      <w:bookmarkStart w:id="1142" w:name="_Toc504992833"/>
      <w:bookmarkStart w:id="1143" w:name="_Toc1586271710"/>
      <w:bookmarkStart w:id="1144" w:name="_Toc949490034"/>
      <w:bookmarkStart w:id="1145" w:name="_Toc1751955116"/>
      <w:bookmarkStart w:id="1146" w:name="_Toc1957308854"/>
      <w:bookmarkStart w:id="1147" w:name="_Toc1353253321"/>
      <w:r w:rsidRPr="00C00C85">
        <w:rPr>
          <w:b/>
          <w:bCs/>
        </w:rPr>
        <w:t xml:space="preserve">The </w:t>
      </w:r>
      <w:r w:rsidR="009771D2" w:rsidRPr="00C00C85">
        <w:rPr>
          <w:b/>
          <w:bCs/>
        </w:rPr>
        <w:t>SCC should consider how to support DER/VPP deployment</w:t>
      </w:r>
      <w:r w:rsidR="009771D2">
        <w:t xml:space="preserve"> as it considers final rulings around </w:t>
      </w:r>
      <w:r w:rsidR="00882745" w:rsidRPr="003C4E04">
        <w:t>HB 434's grid-utilization-metrics petitions (</w:t>
      </w:r>
      <w:r w:rsidR="00335EDA">
        <w:t xml:space="preserve">initial filings </w:t>
      </w:r>
      <w:r w:rsidR="00882745" w:rsidRPr="003C4E04">
        <w:t>due Oct. 15, 2026)</w:t>
      </w:r>
      <w:r w:rsidR="009771D2">
        <w:t xml:space="preserve">, including integrating into full </w:t>
      </w:r>
      <w:r w:rsidR="00882745" w:rsidRPr="003C4E04">
        <w:t>integrated planning</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r w:rsidR="00F44873">
        <w:t>.</w:t>
      </w:r>
    </w:p>
    <w:p w14:paraId="7A7F97C8" w14:textId="000BB6A5" w:rsidR="00DF71CF" w:rsidRPr="00A83026" w:rsidRDefault="006E0F1B" w:rsidP="00C30972">
      <w:pPr>
        <w:pStyle w:val="ListParagraph"/>
        <w:numPr>
          <w:ilvl w:val="0"/>
          <w:numId w:val="147"/>
        </w:numPr>
        <w:spacing w:before="120" w:after="120"/>
      </w:pPr>
      <w:bookmarkStart w:id="1148" w:name="_Toc1299684301"/>
      <w:bookmarkStart w:id="1149" w:name="_Toc359496316"/>
      <w:bookmarkStart w:id="1150" w:name="_Toc842994295"/>
      <w:bookmarkStart w:id="1151" w:name="_Toc2038472693"/>
      <w:bookmarkStart w:id="1152" w:name="_Toc194528301"/>
      <w:bookmarkStart w:id="1153" w:name="_Toc802411989"/>
      <w:bookmarkStart w:id="1154" w:name="_Toc1619754843"/>
      <w:bookmarkStart w:id="1155" w:name="_Toc1579400703"/>
      <w:bookmarkStart w:id="1156" w:name="_Toc1318681729"/>
      <w:bookmarkStart w:id="1157" w:name="_Toc993103207"/>
      <w:bookmarkStart w:id="1158" w:name="_Toc878918513"/>
      <w:bookmarkStart w:id="1159" w:name="_Toc1086922793"/>
      <w:bookmarkStart w:id="1160" w:name="_Toc1533404362"/>
      <w:bookmarkStart w:id="1161" w:name="_Toc1128761416"/>
      <w:bookmarkStart w:id="1162" w:name="_Toc1736643081"/>
      <w:bookmarkStart w:id="1163" w:name="_Toc564470168"/>
      <w:bookmarkStart w:id="1164" w:name="_Toc716207856"/>
      <w:bookmarkStart w:id="1165" w:name="_Toc982388016"/>
      <w:bookmarkStart w:id="1166" w:name="_Toc1460789216"/>
      <w:bookmarkStart w:id="1167" w:name="_Toc1953615761"/>
      <w:bookmarkStart w:id="1168" w:name="_Toc1639484641"/>
      <w:bookmarkStart w:id="1169" w:name="_Toc1024855809"/>
      <w:bookmarkStart w:id="1170" w:name="_Toc550926382"/>
      <w:bookmarkStart w:id="1171" w:name="_Toc1356150859"/>
      <w:bookmarkStart w:id="1172" w:name="_Toc1461955258"/>
      <w:bookmarkStart w:id="1173" w:name="_Toc1815564035"/>
      <w:bookmarkStart w:id="1174" w:name="_Toc176934971"/>
      <w:bookmarkStart w:id="1175" w:name="_Toc690101688"/>
      <w:bookmarkStart w:id="1176" w:name="_Toc425488940"/>
      <w:bookmarkStart w:id="1177" w:name="_Toc2007263925"/>
      <w:bookmarkStart w:id="1178" w:name="_Toc1653645492"/>
      <w:bookmarkStart w:id="1179" w:name="_Toc1137194662"/>
      <w:bookmarkStart w:id="1180" w:name="_Toc359232932"/>
      <w:bookmarkStart w:id="1181" w:name="_Toc769085020"/>
      <w:bookmarkStart w:id="1182" w:name="_Toc1391617231"/>
      <w:bookmarkStart w:id="1183" w:name="_Toc1058547370"/>
      <w:bookmarkStart w:id="1184" w:name="_Toc1163112148"/>
      <w:bookmarkStart w:id="1185" w:name="_Toc1888319646"/>
      <w:bookmarkStart w:id="1186" w:name="_Toc373309482"/>
      <w:bookmarkStart w:id="1187" w:name="_Toc1880407132"/>
      <w:bookmarkStart w:id="1188" w:name="_Toc498984238"/>
      <w:bookmarkStart w:id="1189" w:name="_Toc906945326"/>
      <w:bookmarkStart w:id="1190" w:name="_Toc354079719"/>
      <w:bookmarkStart w:id="1191" w:name="_Toc1444190111"/>
      <w:bookmarkStart w:id="1192" w:name="_Toc364993090"/>
      <w:bookmarkStart w:id="1193" w:name="_Toc1220936972"/>
      <w:bookmarkStart w:id="1194" w:name="_Toc1057589899"/>
      <w:bookmarkStart w:id="1195" w:name="_Toc267149632"/>
      <w:bookmarkStart w:id="1196" w:name="_Toc693552111"/>
      <w:r w:rsidRPr="00C00C85">
        <w:rPr>
          <w:b/>
          <w:bCs/>
        </w:rPr>
        <w:t>The Generally Assembly should r</w:t>
      </w:r>
      <w:r w:rsidR="00882745" w:rsidRPr="00C00C85">
        <w:rPr>
          <w:b/>
          <w:bCs/>
        </w:rPr>
        <w:t>equire a standardized NWA cost-benefit test</w:t>
      </w:r>
      <w:r w:rsidR="00882745" w:rsidRPr="003C4E04">
        <w:t xml:space="preserve"> (avoided cost of energy, capacity, distribution deferral, reliability) for distribution capital projects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sidR="00335EDA">
        <w:t xml:space="preserve">. This could leverage national best practice models (e.g., the National Standards </w:t>
      </w:r>
      <w:r w:rsidR="00FE56BD">
        <w:t>Practice Manual).</w:t>
      </w:r>
    </w:p>
    <w:p w14:paraId="6CA8847D" w14:textId="3E9DB45C" w:rsidR="00DF71CF" w:rsidRDefault="006E0F1B" w:rsidP="00C30972">
      <w:pPr>
        <w:pStyle w:val="ListParagraph"/>
        <w:numPr>
          <w:ilvl w:val="0"/>
          <w:numId w:val="147"/>
        </w:numPr>
        <w:spacing w:before="120" w:after="120"/>
      </w:pPr>
      <w:r w:rsidRPr="00C00C85">
        <w:rPr>
          <w:b/>
          <w:bCs/>
        </w:rPr>
        <w:t xml:space="preserve">The </w:t>
      </w:r>
      <w:r w:rsidR="009771D2" w:rsidRPr="00C00C85">
        <w:rPr>
          <w:b/>
          <w:bCs/>
        </w:rPr>
        <w:t xml:space="preserve">Governor and </w:t>
      </w:r>
      <w:r w:rsidRPr="00C00C85">
        <w:rPr>
          <w:b/>
          <w:bCs/>
        </w:rPr>
        <w:t>General Assembly should m</w:t>
      </w:r>
      <w:r w:rsidR="00DF3470" w:rsidRPr="00C00C85">
        <w:rPr>
          <w:b/>
          <w:bCs/>
        </w:rPr>
        <w:t xml:space="preserve">onitor implementation of HB 434, SB 621, and HB 429 </w:t>
      </w:r>
      <w:r w:rsidR="00DF3470" w:rsidRPr="00DF3470">
        <w:t xml:space="preserve">to ensure resulting proceedings and reporting frameworks are consistent with </w:t>
      </w:r>
      <w:r w:rsidR="00DF3470">
        <w:t>(</w:t>
      </w:r>
      <w:r w:rsidR="00DF3470" w:rsidRPr="00DF3470">
        <w:t>and do not narrow</w:t>
      </w:r>
      <w:r w:rsidR="00DF3470">
        <w:t>)</w:t>
      </w:r>
      <w:r w:rsidR="00DF3470" w:rsidRPr="00DF3470">
        <w:t xml:space="preserve"> their intended DER/VPP planning purpose.</w:t>
      </w:r>
    </w:p>
    <w:p w14:paraId="1F305AD9" w14:textId="77777777" w:rsidR="00577387" w:rsidRPr="00A236EA" w:rsidRDefault="00577387" w:rsidP="006D6A20">
      <w:pPr>
        <w:rPr>
          <w:rFonts w:eastAsia="Georgia"/>
          <w:b/>
          <w:bCs/>
          <w:color w:val="3D4A5C"/>
          <w:sz w:val="23"/>
          <w:szCs w:val="23"/>
        </w:rPr>
      </w:pPr>
    </w:p>
    <w:p w14:paraId="3A0CE9AA" w14:textId="77777777" w:rsidR="00D002B9" w:rsidRPr="00676A69" w:rsidRDefault="00D002B9" w:rsidP="00D002B9">
      <w:pPr>
        <w:pStyle w:val="Heading2"/>
        <w:shd w:val="clear" w:color="auto" w:fill="0E2841" w:themeFill="text2"/>
        <w:rPr>
          <w:b/>
          <w:bCs/>
          <w:color w:val="FFFFFF" w:themeColor="background1"/>
        </w:rPr>
      </w:pPr>
      <w:bookmarkStart w:id="1197" w:name="_Toc239862910"/>
      <w:r w:rsidRPr="00676A69">
        <w:rPr>
          <w:b/>
          <w:bCs/>
          <w:color w:val="FFFFFF" w:themeColor="background1"/>
        </w:rPr>
        <w:t>DER Adoption</w:t>
      </w:r>
      <w:bookmarkEnd w:id="1197"/>
    </w:p>
    <w:p w14:paraId="1C6CF574" w14:textId="77777777" w:rsidR="00D002B9" w:rsidRDefault="00D002B9" w:rsidP="00D002B9"/>
    <w:p w14:paraId="7A865297" w14:textId="56A92B88" w:rsidR="00D002B9" w:rsidRDefault="00227F08" w:rsidP="00D002B9">
      <w:r w:rsidRPr="00CE2521">
        <w:t xml:space="preserve">Continued DER adoption is equally essential: VPPs can only grow if Virginia expands the base of solar, storage, flexible loads, managed EVs, energy-efficiency measures, and public-facility resources available to participate. The findings and recommendations below therefore identify strategies to reduce </w:t>
      </w:r>
      <w:r w:rsidR="00B46DCF">
        <w:t xml:space="preserve">DER </w:t>
      </w:r>
      <w:r w:rsidRPr="00CE2521">
        <w:t>deployment barriers, improve customer access, and support the sustained buildout of DERs that can deliver customer benefits today and become grid resources over time.</w:t>
      </w:r>
      <w:r w:rsidRPr="00CE2521" w:rsidDel="00227F08">
        <w:t xml:space="preserve"> </w:t>
      </w:r>
    </w:p>
    <w:p w14:paraId="0E1B7613" w14:textId="77777777" w:rsidR="00D002B9" w:rsidRDefault="00D002B9" w:rsidP="00D002B9"/>
    <w:p w14:paraId="4E8D7D42" w14:textId="32F7DD05" w:rsidR="00D002B9" w:rsidRPr="00CE2521" w:rsidRDefault="00D002B9" w:rsidP="00D002B9">
      <w:pPr>
        <w:pStyle w:val="Heading3"/>
        <w:rPr>
          <w:b/>
        </w:rPr>
      </w:pPr>
      <w:bookmarkStart w:id="1198" w:name="_Toc239862911"/>
      <w:r w:rsidRPr="00CE2521">
        <w:rPr>
          <w:b/>
        </w:rPr>
        <w:t xml:space="preserve">Recommendation </w:t>
      </w:r>
      <w:r w:rsidR="00EE5FEA" w:rsidRPr="00CE2521">
        <w:rPr>
          <w:b/>
        </w:rPr>
        <w:t>8</w:t>
      </w:r>
      <w:r w:rsidRPr="00CE2521">
        <w:rPr>
          <w:b/>
        </w:rPr>
        <w:t xml:space="preserve">: </w:t>
      </w:r>
      <w:r w:rsidR="00641FE8" w:rsidRPr="00CE2521">
        <w:rPr>
          <w:b/>
        </w:rPr>
        <w:t xml:space="preserve">Support </w:t>
      </w:r>
      <w:r w:rsidRPr="00CE2521">
        <w:rPr>
          <w:b/>
        </w:rPr>
        <w:t>Schools &amp; Public Facility DER Adoption</w:t>
      </w:r>
      <w:bookmarkEnd w:id="1198"/>
    </w:p>
    <w:p w14:paraId="3B15EC7B" w14:textId="7D9A2D73" w:rsidR="00D002B9" w:rsidRDefault="00D002B9" w:rsidP="00820B32">
      <w:pPr>
        <w:spacing w:before="120" w:after="120"/>
      </w:pPr>
      <w:r w:rsidRPr="00D45AF8">
        <w:rPr>
          <w:b/>
          <w:bCs/>
        </w:rPr>
        <w:t>Finding:</w:t>
      </w:r>
      <w:r>
        <w:t xml:space="preserve"> </w:t>
      </w:r>
      <w:r w:rsidRPr="006D099B">
        <w:t xml:space="preserve">Virginia's public schools, colleges, and municipal facilities represent one of the largest untapped opportunities to </w:t>
      </w:r>
      <w:r w:rsidR="00BD0833">
        <w:t xml:space="preserve">deploy and aggregate DERs to </w:t>
      </w:r>
      <w:r w:rsidRPr="006D099B">
        <w:t>reduce taxpayer-funded energy costs</w:t>
      </w:r>
      <w:r w:rsidR="00C0774A">
        <w:t xml:space="preserve"> and</w:t>
      </w:r>
      <w:r w:rsidR="007F62E8">
        <w:t xml:space="preserve"> </w:t>
      </w:r>
      <w:r w:rsidR="00E70FFD">
        <w:t>use</w:t>
      </w:r>
      <w:r w:rsidR="00C2380B">
        <w:t xml:space="preserve"> resultant</w:t>
      </w:r>
      <w:r w:rsidR="00E70FFD">
        <w:t xml:space="preserve"> </w:t>
      </w:r>
      <w:r w:rsidR="001E628B">
        <w:t>savings</w:t>
      </w:r>
      <w:r w:rsidR="00E70FFD">
        <w:t xml:space="preserve"> for public </w:t>
      </w:r>
      <w:r w:rsidR="001E628B">
        <w:t>reinvest</w:t>
      </w:r>
      <w:r w:rsidR="004D2644">
        <w:t>ment</w:t>
      </w:r>
      <w:r w:rsidR="0076514D">
        <w:t>,</w:t>
      </w:r>
      <w:r w:rsidRPr="006D099B">
        <w:t xml:space="preserve"> strengthen resilience of critical infrastructure, and demonstrate a practical pathway to improving grid utilization and energy affordability.</w:t>
      </w:r>
      <w:r>
        <w:t xml:space="preserve"> </w:t>
      </w:r>
      <w:r w:rsidR="00B46C64">
        <w:t>However,</w:t>
      </w:r>
      <w:r w:rsidR="006A4289">
        <w:t xml:space="preserve"> </w:t>
      </w:r>
      <w:r w:rsidR="00BD0833">
        <w:t>T</w:t>
      </w:r>
      <w:r w:rsidR="00804B2B">
        <w:t xml:space="preserve">ask </w:t>
      </w:r>
      <w:r w:rsidR="00BD0833">
        <w:t>F</w:t>
      </w:r>
      <w:r w:rsidR="00804B2B">
        <w:t>orce members raised</w:t>
      </w:r>
      <w:r w:rsidR="00B46C64">
        <w:t xml:space="preserve"> </w:t>
      </w:r>
      <w:r w:rsidR="00A807CB">
        <w:t xml:space="preserve">key </w:t>
      </w:r>
      <w:r w:rsidR="00B46C64">
        <w:t>educ</w:t>
      </w:r>
      <w:r w:rsidR="00CD1A62">
        <w:t>ation</w:t>
      </w:r>
      <w:r w:rsidR="007E19EE">
        <w:t>, legal,</w:t>
      </w:r>
      <w:r w:rsidR="00CD1A62">
        <w:t xml:space="preserve"> and </w:t>
      </w:r>
      <w:r w:rsidR="004105E5">
        <w:t xml:space="preserve">regulatory barriers </w:t>
      </w:r>
      <w:r w:rsidR="00A807CB">
        <w:t xml:space="preserve">that need </w:t>
      </w:r>
      <w:r w:rsidR="009D1D7C">
        <w:t xml:space="preserve">to </w:t>
      </w:r>
      <w:r w:rsidR="00A807CB">
        <w:t xml:space="preserve">be </w:t>
      </w:r>
      <w:r w:rsidR="009D1D7C">
        <w:t>address</w:t>
      </w:r>
      <w:r w:rsidR="00A807CB">
        <w:t>ed</w:t>
      </w:r>
      <w:r w:rsidR="009D1D7C">
        <w:t xml:space="preserve"> </w:t>
      </w:r>
      <w:r w:rsidR="00A2547B">
        <w:t xml:space="preserve">to best support schools and other public facilities in taking advantage of these opportunities (e.g., </w:t>
      </w:r>
      <w:r w:rsidR="00361531">
        <w:t xml:space="preserve">education and </w:t>
      </w:r>
      <w:r w:rsidR="00A2547B">
        <w:t xml:space="preserve">capacity building, </w:t>
      </w:r>
      <w:r w:rsidR="00361531">
        <w:t xml:space="preserve">PPA models fit for public entities, etc.). </w:t>
      </w:r>
    </w:p>
    <w:p w14:paraId="531E0A97" w14:textId="58888BD4" w:rsidR="00D002B9" w:rsidRDefault="00D002B9" w:rsidP="00D459B9">
      <w:pPr>
        <w:spacing w:before="120" w:after="120"/>
      </w:pPr>
      <w:r w:rsidRPr="0086147C">
        <w:rPr>
          <w:b/>
          <w:bCs/>
        </w:rPr>
        <w:t xml:space="preserve">Recommendation: </w:t>
      </w:r>
      <w:r w:rsidRPr="0086147C">
        <w:t xml:space="preserve">Develop a program that takes a </w:t>
      </w:r>
      <w:r w:rsidRPr="008734B7">
        <w:t>systems approach</w:t>
      </w:r>
      <w:r w:rsidRPr="0086147C">
        <w:t xml:space="preserve"> to deploying and aggregating solar </w:t>
      </w:r>
      <w:r w:rsidR="00422BAE">
        <w:t>and</w:t>
      </w:r>
      <w:r w:rsidRPr="0086147C">
        <w:t xml:space="preserve"> battery storage across public facilities using public and private capital to deliver energy and taxpayer savings</w:t>
      </w:r>
      <w:r>
        <w:t xml:space="preserve">; </w:t>
      </w:r>
      <w:r w:rsidRPr="0086147C">
        <w:t>encourage use of existing cooperative procurement contracts while offering public funding to support deployment of resilience hubs and microgrids</w:t>
      </w:r>
      <w:r>
        <w:t xml:space="preserve">; </w:t>
      </w:r>
      <w:r w:rsidR="00224C1D">
        <w:t>incorporate</w:t>
      </w:r>
      <w:r w:rsidR="0067019E">
        <w:t xml:space="preserve"> education and direct outreach</w:t>
      </w:r>
      <w:r>
        <w:t xml:space="preserve"> </w:t>
      </w:r>
      <w:r w:rsidR="00224C1D">
        <w:t xml:space="preserve">strategies </w:t>
      </w:r>
      <w:r>
        <w:t xml:space="preserve">to </w:t>
      </w:r>
      <w:r w:rsidR="0070147C">
        <w:t xml:space="preserve">as a core component of the program </w:t>
      </w:r>
      <w:r w:rsidR="00FF02A3">
        <w:t>to lay the groundwork for long-term adoption</w:t>
      </w:r>
      <w:r w:rsidRPr="0086147C">
        <w:t xml:space="preserve">. </w:t>
      </w:r>
      <w:r w:rsidRPr="00CE2521">
        <w:rPr>
          <w:b/>
        </w:rPr>
        <w:t xml:space="preserve">Actions </w:t>
      </w:r>
      <w:r w:rsidR="00B01FA2" w:rsidRPr="00CE2521">
        <w:rPr>
          <w:b/>
        </w:rPr>
        <w:t>could</w:t>
      </w:r>
      <w:r w:rsidRPr="00CE2521">
        <w:rPr>
          <w:b/>
        </w:rPr>
        <w:t xml:space="preserve"> include: </w:t>
      </w:r>
    </w:p>
    <w:p w14:paraId="4A372803" w14:textId="08E43AB5" w:rsidR="000620D9" w:rsidRDefault="00D002B9" w:rsidP="00E86C6F">
      <w:pPr>
        <w:pStyle w:val="ListParagraph"/>
        <w:numPr>
          <w:ilvl w:val="0"/>
          <w:numId w:val="28"/>
        </w:numPr>
        <w:spacing w:before="120" w:after="120"/>
      </w:pPr>
      <w:r w:rsidRPr="008734B7">
        <w:rPr>
          <w:b/>
        </w:rPr>
        <w:t xml:space="preserve">Introduce legislation to </w:t>
      </w:r>
      <w:r w:rsidR="00E86C6F" w:rsidRPr="008734B7">
        <w:rPr>
          <w:b/>
        </w:rPr>
        <w:t xml:space="preserve">establish </w:t>
      </w:r>
      <w:r w:rsidR="00F520BD" w:rsidRPr="008734B7">
        <w:rPr>
          <w:b/>
        </w:rPr>
        <w:t xml:space="preserve">a </w:t>
      </w:r>
      <w:r w:rsidR="00E86C6F" w:rsidRPr="008734B7">
        <w:rPr>
          <w:b/>
        </w:rPr>
        <w:t xml:space="preserve">dedicated </w:t>
      </w:r>
      <w:r w:rsidR="00F520BD" w:rsidRPr="008734B7">
        <w:rPr>
          <w:b/>
        </w:rPr>
        <w:t>school and public facilities DER adoption program</w:t>
      </w:r>
      <w:r w:rsidRPr="00313715">
        <w:rPr>
          <w:bCs/>
        </w:rPr>
        <w:t xml:space="preserve">. </w:t>
      </w:r>
      <w:r w:rsidR="00361531">
        <w:rPr>
          <w:bCs/>
        </w:rPr>
        <w:t xml:space="preserve">This could include requirements </w:t>
      </w:r>
      <w:r w:rsidR="00EE24A4">
        <w:rPr>
          <w:bCs/>
        </w:rPr>
        <w:t xml:space="preserve">for </w:t>
      </w:r>
      <w:r w:rsidR="009C793F">
        <w:rPr>
          <w:bCs/>
        </w:rPr>
        <w:t xml:space="preserve">leveraging </w:t>
      </w:r>
      <w:r w:rsidRPr="005750E2">
        <w:t>existing cooperative procurement contracts where feasible to reduce costs and accelerate timelines</w:t>
      </w:r>
      <w:r w:rsidR="00EE24A4">
        <w:t xml:space="preserve">; </w:t>
      </w:r>
      <w:r w:rsidR="00CE7F65">
        <w:t xml:space="preserve">establishing streamlined interconnection processes for eligible school projects </w:t>
      </w:r>
      <w:r w:rsidRPr="005750E2">
        <w:t>≤1 MW (</w:t>
      </w:r>
      <w:r w:rsidR="00CE7F65">
        <w:t xml:space="preserve">e.g., waivers on </w:t>
      </w:r>
      <w:r w:rsidRPr="005750E2">
        <w:t xml:space="preserve">site-level DTT/telemetry </w:t>
      </w:r>
      <w:r w:rsidR="00CE7F65">
        <w:t>requirements</w:t>
      </w:r>
      <w:r w:rsidRPr="005750E2">
        <w:t>, 30–60-day permission-to-operate timelines, and by-right permitting</w:t>
      </w:r>
      <w:r w:rsidR="00CE7F65">
        <w:t xml:space="preserve">); </w:t>
      </w:r>
      <w:r w:rsidR="00542824">
        <w:t xml:space="preserve">clarifying pathways for systems to participate in </w:t>
      </w:r>
      <w:r w:rsidRPr="005750E2">
        <w:t xml:space="preserve">PJM </w:t>
      </w:r>
      <w:r w:rsidR="005B0F50">
        <w:t>markets</w:t>
      </w:r>
      <w:r w:rsidR="00542824">
        <w:t xml:space="preserve">; </w:t>
      </w:r>
      <w:r w:rsidR="00D104DA">
        <w:t xml:space="preserve">support pathways for large energy customers to support </w:t>
      </w:r>
      <w:r w:rsidRPr="0039397E">
        <w:t xml:space="preserve">school-based </w:t>
      </w:r>
      <w:r w:rsidR="00D104DA">
        <w:t xml:space="preserve">projects to enhance </w:t>
      </w:r>
      <w:r w:rsidRPr="005750E2">
        <w:t>project economics</w:t>
      </w:r>
      <w:r>
        <w:t xml:space="preserve">. </w:t>
      </w:r>
      <w:r w:rsidR="00D104DA">
        <w:t xml:space="preserve">Additional grants to enable </w:t>
      </w:r>
      <w:r w:rsidR="000620D9">
        <w:t>mi</w:t>
      </w:r>
      <w:r w:rsidR="000620D9" w:rsidRPr="000620D9">
        <w:t xml:space="preserve">crogrid and resilience hub </w:t>
      </w:r>
      <w:r w:rsidR="00D104DA">
        <w:t xml:space="preserve">capabilities could be made available to </w:t>
      </w:r>
      <w:r w:rsidR="00E86C6F">
        <w:t xml:space="preserve">reduce costs and support </w:t>
      </w:r>
      <w:r w:rsidR="000620D9" w:rsidRPr="000620D9">
        <w:t>recipient education on operational and regulatory/legal requirements.</w:t>
      </w:r>
      <w:r w:rsidR="007D6785">
        <w:t xml:space="preserve"> </w:t>
      </w:r>
    </w:p>
    <w:p w14:paraId="018FEB17" w14:textId="528BA4EA" w:rsidR="0037799D" w:rsidRPr="005750E2" w:rsidRDefault="00EB1DD6" w:rsidP="00D459B9">
      <w:pPr>
        <w:pStyle w:val="ListParagraph"/>
        <w:numPr>
          <w:ilvl w:val="0"/>
          <w:numId w:val="28"/>
        </w:numPr>
        <w:spacing w:before="120" w:after="120"/>
      </w:pPr>
      <w:r w:rsidRPr="008734B7">
        <w:rPr>
          <w:b/>
          <w:bCs/>
        </w:rPr>
        <w:t xml:space="preserve">Direct Virginia Energy to </w:t>
      </w:r>
      <w:r w:rsidR="00E86C6F">
        <w:rPr>
          <w:b/>
          <w:bCs/>
        </w:rPr>
        <w:t xml:space="preserve">develop </w:t>
      </w:r>
      <w:r w:rsidRPr="008734B7">
        <w:rPr>
          <w:b/>
          <w:bCs/>
        </w:rPr>
        <w:t xml:space="preserve">materials </w:t>
      </w:r>
      <w:r w:rsidR="00E86C6F">
        <w:rPr>
          <w:b/>
          <w:bCs/>
        </w:rPr>
        <w:t xml:space="preserve">and </w:t>
      </w:r>
      <w:r w:rsidR="008734B7">
        <w:rPr>
          <w:b/>
          <w:bCs/>
        </w:rPr>
        <w:t xml:space="preserve">conduct outreach </w:t>
      </w:r>
      <w:r w:rsidR="00F50F61" w:rsidRPr="008734B7">
        <w:rPr>
          <w:b/>
          <w:bCs/>
        </w:rPr>
        <w:t xml:space="preserve">tailored to </w:t>
      </w:r>
      <w:r w:rsidRPr="008734B7">
        <w:rPr>
          <w:b/>
          <w:bCs/>
        </w:rPr>
        <w:t>local governments and public entities to support DER adoption,</w:t>
      </w:r>
      <w:r>
        <w:t xml:space="preserve"> including</w:t>
      </w:r>
      <w:r w:rsidRPr="00ED2D5B">
        <w:t xml:space="preserve"> model solar PPA </w:t>
      </w:r>
      <w:r>
        <w:t>templates</w:t>
      </w:r>
      <w:r w:rsidRPr="00ED2D5B">
        <w:t xml:space="preserve"> and FAQs</w:t>
      </w:r>
      <w:r>
        <w:t xml:space="preserve"> and </w:t>
      </w:r>
      <w:r w:rsidRPr="00ED2D5B">
        <w:t>DER PPA/procurement training sessions</w:t>
      </w:r>
      <w:r w:rsidR="00F50F61">
        <w:t>. This could include</w:t>
      </w:r>
      <w:r>
        <w:t xml:space="preserve"> c</w:t>
      </w:r>
      <w:r w:rsidRPr="00ED2D5B">
        <w:t>reat</w:t>
      </w:r>
      <w:r w:rsidR="00F50F61">
        <w:t xml:space="preserve">ing </w:t>
      </w:r>
      <w:r w:rsidRPr="00ED2D5B">
        <w:t>a recognition system to incentivize Virginia localities to adopt DER-friendly ordinances</w:t>
      </w:r>
      <w:r>
        <w:t xml:space="preserve">. </w:t>
      </w:r>
      <w:r w:rsidR="00E86C6F">
        <w:rPr>
          <w:color w:val="FF0000"/>
        </w:rPr>
        <w:t xml:space="preserve"> </w:t>
      </w:r>
    </w:p>
    <w:p w14:paraId="1FC3928D" w14:textId="77777777" w:rsidR="00C30972" w:rsidRPr="005750E2" w:rsidRDefault="00C30972" w:rsidP="00C30972">
      <w:pPr>
        <w:pStyle w:val="ListParagraph"/>
        <w:spacing w:before="120" w:after="120"/>
        <w:ind w:left="720"/>
      </w:pPr>
    </w:p>
    <w:p w14:paraId="5CE7B87B" w14:textId="6E01627A" w:rsidR="00D002B9" w:rsidRPr="00CE2521" w:rsidRDefault="00D002B9" w:rsidP="00CE2521">
      <w:pPr>
        <w:pStyle w:val="Heading3"/>
        <w:spacing w:after="240"/>
        <w:rPr>
          <w:b/>
        </w:rPr>
      </w:pPr>
      <w:bookmarkStart w:id="1199" w:name="_Toc1310989435"/>
      <w:bookmarkStart w:id="1200" w:name="_Toc187134262"/>
      <w:bookmarkStart w:id="1201" w:name="_Toc780052809"/>
      <w:bookmarkStart w:id="1202" w:name="_Toc1824459058"/>
      <w:bookmarkStart w:id="1203" w:name="_Toc1285224442"/>
      <w:bookmarkStart w:id="1204" w:name="_Toc1343327251"/>
      <w:bookmarkStart w:id="1205" w:name="_Toc293751927"/>
      <w:bookmarkStart w:id="1206" w:name="_Toc468291113"/>
      <w:bookmarkStart w:id="1207" w:name="_Toc1911723878"/>
      <w:bookmarkStart w:id="1208" w:name="_Toc1683888942"/>
      <w:bookmarkStart w:id="1209" w:name="_Toc1941881598"/>
      <w:bookmarkStart w:id="1210" w:name="_Toc1858874543"/>
      <w:bookmarkStart w:id="1211" w:name="_Toc1066492962"/>
      <w:bookmarkStart w:id="1212" w:name="_Toc1976817418"/>
      <w:bookmarkStart w:id="1213" w:name="_Toc1131471762"/>
      <w:bookmarkStart w:id="1214" w:name="_Toc482693818"/>
      <w:bookmarkStart w:id="1215" w:name="_Toc1377768539"/>
      <w:bookmarkStart w:id="1216" w:name="_Toc755776865"/>
      <w:bookmarkStart w:id="1217" w:name="_Toc2068982949"/>
      <w:bookmarkStart w:id="1218" w:name="_Toc1522627077"/>
      <w:bookmarkStart w:id="1219" w:name="_Toc857985633"/>
      <w:bookmarkStart w:id="1220" w:name="_Toc1479597080"/>
      <w:bookmarkStart w:id="1221" w:name="_Toc354856391"/>
      <w:bookmarkStart w:id="1222" w:name="_Toc275795805"/>
      <w:bookmarkStart w:id="1223" w:name="_Toc259410395"/>
      <w:bookmarkStart w:id="1224" w:name="_Toc72118006"/>
      <w:bookmarkStart w:id="1225" w:name="_Toc1509258824"/>
      <w:bookmarkStart w:id="1226" w:name="_Toc1440398615"/>
      <w:bookmarkStart w:id="1227" w:name="_Toc1568203476"/>
      <w:bookmarkStart w:id="1228" w:name="_Toc232523384"/>
      <w:bookmarkStart w:id="1229" w:name="_Toc47427457"/>
      <w:bookmarkStart w:id="1230" w:name="_Toc671335748"/>
      <w:bookmarkStart w:id="1231" w:name="_Toc1756147930"/>
      <w:bookmarkStart w:id="1232" w:name="_Toc1097563926"/>
      <w:bookmarkStart w:id="1233" w:name="_Toc290566818"/>
      <w:bookmarkStart w:id="1234" w:name="_Toc1907249414"/>
      <w:bookmarkStart w:id="1235" w:name="_Toc1163923359"/>
      <w:bookmarkStart w:id="1236" w:name="_Toc396098611"/>
      <w:bookmarkStart w:id="1237" w:name="_Toc1247810937"/>
      <w:bookmarkStart w:id="1238" w:name="_Toc1638033151"/>
      <w:bookmarkStart w:id="1239" w:name="_Toc1032512353"/>
      <w:bookmarkStart w:id="1240" w:name="_Toc882569909"/>
      <w:bookmarkStart w:id="1241" w:name="_Toc1779862310"/>
      <w:bookmarkStart w:id="1242" w:name="_Toc414823831"/>
      <w:bookmarkStart w:id="1243" w:name="_Toc2098838643"/>
      <w:bookmarkStart w:id="1244" w:name="_Toc33421734"/>
      <w:bookmarkStart w:id="1245" w:name="_Toc1413842212"/>
      <w:bookmarkStart w:id="1246" w:name="_Toc44620607"/>
      <w:bookmarkStart w:id="1247" w:name="_Toc383489074"/>
      <w:bookmarkStart w:id="1248" w:name="_Toc239862912"/>
      <w:r w:rsidRPr="00CE2521">
        <w:rPr>
          <w:b/>
        </w:rPr>
        <w:t xml:space="preserve">Recommendation </w:t>
      </w:r>
      <w:r w:rsidR="00B6222D">
        <w:rPr>
          <w:b/>
          <w:bCs/>
        </w:rPr>
        <w:t>9</w:t>
      </w:r>
      <w:r w:rsidRPr="00CE2521">
        <w:rPr>
          <w:b/>
        </w:rPr>
        <w:t xml:space="preserve">: </w:t>
      </w:r>
      <w:r w:rsidR="007E046F">
        <w:rPr>
          <w:b/>
        </w:rPr>
        <w:t>Modernize</w:t>
      </w:r>
      <w:r w:rsidR="00F50F61" w:rsidRPr="00CE2521">
        <w:rPr>
          <w:b/>
        </w:rPr>
        <w:t xml:space="preserve"> </w:t>
      </w:r>
      <w:r w:rsidRPr="00CE2521">
        <w:rPr>
          <w:b/>
        </w:rPr>
        <w:t>DER Interconnection</w:t>
      </w:r>
      <w:r w:rsidR="00F50F61" w:rsidRPr="00CE2521">
        <w:rPr>
          <w:b/>
        </w:rPr>
        <w:t xml:space="preserve"> Policies</w:t>
      </w:r>
      <w:bookmarkEnd w:id="1248"/>
    </w:p>
    <w:p w14:paraId="64F18A9A" w14:textId="34858801" w:rsidR="007E046F" w:rsidRDefault="00D002B9" w:rsidP="00D459B9">
      <w:pPr>
        <w:spacing w:before="120" w:after="120"/>
      </w:pPr>
      <w:r>
        <w:rPr>
          <w:b/>
          <w:bCs/>
        </w:rPr>
        <w:t>Finding:</w:t>
      </w:r>
      <w:r w:rsidRPr="00FA418C">
        <w:t xml:space="preserve"> </w:t>
      </w:r>
      <w:r w:rsidR="002E5F93">
        <w:t>Virginia’s</w:t>
      </w:r>
      <w:r w:rsidR="00371918">
        <w:t xml:space="preserve"> DER</w:t>
      </w:r>
      <w:r w:rsidR="002E5F93">
        <w:t xml:space="preserve"> i</w:t>
      </w:r>
      <w:r w:rsidR="002E5F93" w:rsidRPr="00AE0439">
        <w:t xml:space="preserve">nterconnection </w:t>
      </w:r>
      <w:r w:rsidRPr="00AE0439">
        <w:t xml:space="preserve">rules </w:t>
      </w:r>
      <w:r w:rsidR="002E5F93">
        <w:t>have not been comprehensively updated</w:t>
      </w:r>
      <w:r w:rsidR="00E25576">
        <w:t xml:space="preserve">, creating </w:t>
      </w:r>
      <w:r w:rsidRPr="00FA418C">
        <w:t>a</w:t>
      </w:r>
      <w:r w:rsidRPr="00AE0439">
        <w:t xml:space="preserve"> </w:t>
      </w:r>
      <w:r w:rsidR="0022265C">
        <w:t>barrier</w:t>
      </w:r>
      <w:r w:rsidRPr="00AE0439">
        <w:t xml:space="preserve"> to new DERs</w:t>
      </w:r>
      <w:r>
        <w:t xml:space="preserve"> accessing</w:t>
      </w:r>
      <w:r w:rsidRPr="00AE0439">
        <w:t xml:space="preserve"> the</w:t>
      </w:r>
      <w:r>
        <w:t xml:space="preserve"> electric</w:t>
      </w:r>
      <w:r w:rsidRPr="00AE0439">
        <w:t xml:space="preserve"> grid</w:t>
      </w:r>
      <w:r w:rsidR="00371918">
        <w:t xml:space="preserve">. This adversely impacts </w:t>
      </w:r>
      <w:r>
        <w:t>DER project costs, timelines, customer participation, utility operations, and the pace of adoption for emerging</w:t>
      </w:r>
      <w:r w:rsidR="00371918">
        <w:t xml:space="preserve"> distributed</w:t>
      </w:r>
      <w:r>
        <w:t xml:space="preserve"> technologies.</w:t>
      </w:r>
      <w:r w:rsidRPr="00FA418C">
        <w:t xml:space="preserve"> </w:t>
      </w:r>
    </w:p>
    <w:p w14:paraId="67C19D2B" w14:textId="1ED24E4B" w:rsidR="00D002B9" w:rsidRPr="007E2C94" w:rsidRDefault="00D002B9" w:rsidP="00D459B9">
      <w:pPr>
        <w:spacing w:before="120" w:after="120"/>
      </w:pPr>
      <w:r w:rsidRPr="00FA418C">
        <w:t xml:space="preserve">This </w:t>
      </w:r>
      <w:r w:rsidR="00DC1A7B">
        <w:t>work</w:t>
      </w:r>
      <w:r w:rsidR="00B46D31">
        <w:t xml:space="preserve"> </w:t>
      </w:r>
      <w:r w:rsidRPr="00FA418C">
        <w:t>builds on</w:t>
      </w:r>
      <w:r w:rsidR="00773B78">
        <w:t xml:space="preserve"> </w:t>
      </w:r>
      <w:r w:rsidRPr="00FA418C">
        <w:t xml:space="preserve">Virginia's </w:t>
      </w:r>
      <w:r w:rsidR="00965AC7">
        <w:t xml:space="preserve">past efforts to evaluate interconnection solutions, including </w:t>
      </w:r>
      <w:r w:rsidRPr="00FA418C">
        <w:t>the 2023/24 SCC DER Interconnection Working Group</w:t>
      </w:r>
      <w:r w:rsidR="00773B78">
        <w:rPr>
          <w:rStyle w:val="FootnoteReference"/>
        </w:rPr>
        <w:footnoteReference w:id="56"/>
      </w:r>
      <w:r w:rsidRPr="00FA418C">
        <w:t xml:space="preserve"> process </w:t>
      </w:r>
      <w:r w:rsidR="00965AC7">
        <w:t xml:space="preserve">that </w:t>
      </w:r>
      <w:r w:rsidRPr="00FA418C">
        <w:t xml:space="preserve">addressed </w:t>
      </w:r>
      <w:r w:rsidR="00773B78">
        <w:t xml:space="preserve">a variety of </w:t>
      </w:r>
      <w:r w:rsidR="00965AC7">
        <w:t xml:space="preserve">acute, </w:t>
      </w:r>
      <w:r w:rsidR="00773B78">
        <w:t xml:space="preserve">specific </w:t>
      </w:r>
      <w:r w:rsidRPr="00FA418C">
        <w:t xml:space="preserve">issues </w:t>
      </w:r>
      <w:r>
        <w:t xml:space="preserve">such as </w:t>
      </w:r>
      <w:r w:rsidRPr="00FA418C">
        <w:t>material modification language, dispute resolution, insurance requirements</w:t>
      </w:r>
      <w:r>
        <w:t>, etc.</w:t>
      </w:r>
      <w:r w:rsidRPr="00FA418C">
        <w:t xml:space="preserve"> </w:t>
      </w:r>
      <w:r w:rsidR="00773B78">
        <w:t xml:space="preserve">However, this effort </w:t>
      </w:r>
      <w:r w:rsidRPr="00FA418C">
        <w:t xml:space="preserve">did not </w:t>
      </w:r>
      <w:r w:rsidR="00554837">
        <w:t>address</w:t>
      </w:r>
      <w:r w:rsidRPr="00FA418C">
        <w:t xml:space="preserve"> underlying structural problems</w:t>
      </w:r>
      <w:r w:rsidR="00554837">
        <w:t>:</w:t>
      </w:r>
      <w:r w:rsidRPr="00FA418C">
        <w:t xml:space="preserve"> </w:t>
      </w:r>
      <w:r w:rsidR="00A84F97">
        <w:t xml:space="preserve">Virginia’s </w:t>
      </w:r>
      <w:r w:rsidRPr="00FA418C">
        <w:t xml:space="preserve">DER </w:t>
      </w:r>
      <w:r w:rsidR="00A84F97">
        <w:t xml:space="preserve">interconnection </w:t>
      </w:r>
      <w:r w:rsidRPr="00FA418C">
        <w:t xml:space="preserve">requirements </w:t>
      </w:r>
      <w:r w:rsidR="00A84F97">
        <w:t xml:space="preserve">are </w:t>
      </w:r>
      <w:r w:rsidRPr="00FA418C">
        <w:t xml:space="preserve">split across two administrative chapters (314 and 315), lack specificity for review of smaller DERs, and </w:t>
      </w:r>
      <w:r w:rsidR="00554837">
        <w:t xml:space="preserve">includes </w:t>
      </w:r>
      <w:r w:rsidRPr="00FA418C">
        <w:t>base rule provisions that are more than 20 years old</w:t>
      </w:r>
      <w:r w:rsidR="009B29AC">
        <w:t xml:space="preserve"> (which did not account for technologies like distributed storage)</w:t>
      </w:r>
      <w:r w:rsidRPr="00FA418C">
        <w:t xml:space="preserve">. The Task Force's recommendations are intended to close those structural gaps </w:t>
      </w:r>
      <w:r w:rsidR="00554837">
        <w:t xml:space="preserve">to modernize Virginia’s </w:t>
      </w:r>
      <w:r w:rsidR="007C6D7F">
        <w:t xml:space="preserve">DER </w:t>
      </w:r>
      <w:r w:rsidR="00554837">
        <w:t>interconnection</w:t>
      </w:r>
      <w:r w:rsidR="007C6D7F">
        <w:t xml:space="preserve"> policies. </w:t>
      </w:r>
    </w:p>
    <w:p w14:paraId="09B76253" w14:textId="1D3379B4" w:rsidR="00D002B9" w:rsidRPr="00AE0F6E" w:rsidRDefault="00D002B9" w:rsidP="00D459B9">
      <w:pPr>
        <w:spacing w:before="120" w:after="120"/>
      </w:pPr>
      <w:r>
        <w:rPr>
          <w:b/>
          <w:bCs/>
        </w:rPr>
        <w:t xml:space="preserve">Recommendation: </w:t>
      </w:r>
      <w:r w:rsidRPr="00AE0F6E">
        <w:t xml:space="preserve">Modernize interconnection rules to align with national best practices and with the Task Force's specific statutory directives, standardizing export controls, non-exporting systems, and bidirectional power injection. This recommendation is </w:t>
      </w:r>
      <w:r w:rsidR="00691AAC">
        <w:t>aligned with the Task Force’s</w:t>
      </w:r>
      <w:r w:rsidRPr="00AE0F6E">
        <w:t xml:space="preserve"> statutory directives </w:t>
      </w:r>
      <w:r w:rsidR="00691AAC">
        <w:t>to make recommendations</w:t>
      </w:r>
      <w:r w:rsidR="00FA6AE3">
        <w:t xml:space="preserve"> on</w:t>
      </w:r>
      <w:r w:rsidRPr="00AE0F6E">
        <w:t xml:space="preserve"> modernizing standards in compliance with IEEE 1547-2018 and UL 1741</w:t>
      </w:r>
      <w:r w:rsidR="00FA6AE3">
        <w:rPr>
          <w:rStyle w:val="FootnoteReference"/>
        </w:rPr>
        <w:footnoteReference w:id="57"/>
      </w:r>
      <w:r w:rsidRPr="00AE0F6E">
        <w:t xml:space="preserve"> (Directive 3), and harmonizing Virginia's interconnection and retail frameworks with PJM's FERC Order 2222 compliance plan (Directive 4), which carries its own February 1, 2027 deadline for Commission action. </w:t>
      </w:r>
      <w:r w:rsidRPr="00CE2521">
        <w:rPr>
          <w:b/>
        </w:rPr>
        <w:t xml:space="preserve">Actions </w:t>
      </w:r>
      <w:r w:rsidR="00BB0256" w:rsidRPr="00CE2521">
        <w:rPr>
          <w:b/>
        </w:rPr>
        <w:t>could</w:t>
      </w:r>
      <w:r w:rsidRPr="00CE2521">
        <w:rPr>
          <w:b/>
        </w:rPr>
        <w:t xml:space="preserve"> include:</w:t>
      </w:r>
    </w:p>
    <w:p w14:paraId="5B43CC9D" w14:textId="0243BCCF" w:rsidR="00D002B9" w:rsidRDefault="00A75867" w:rsidP="00D459B9">
      <w:pPr>
        <w:pStyle w:val="ListParagraph"/>
        <w:numPr>
          <w:ilvl w:val="0"/>
          <w:numId w:val="22"/>
        </w:numPr>
        <w:spacing w:before="120" w:after="120"/>
      </w:pPr>
      <w:r>
        <w:t>Initiat</w:t>
      </w:r>
      <w:r w:rsidR="005F05C2">
        <w:t>e</w:t>
      </w:r>
      <w:r>
        <w:t xml:space="preserve"> a</w:t>
      </w:r>
      <w:r w:rsidR="00DD4905" w:rsidRPr="00CE2521">
        <w:t xml:space="preserve"> SCC </w:t>
      </w:r>
      <w:r>
        <w:t>rulemaking before the</w:t>
      </w:r>
      <w:r w:rsidR="00D002B9">
        <w:t xml:space="preserve"> end of 2027 </w:t>
      </w:r>
      <w:r>
        <w:t xml:space="preserve">to synthesize all </w:t>
      </w:r>
      <w:r w:rsidR="001067BE">
        <w:t>interconnection rules into</w:t>
      </w:r>
      <w:r w:rsidR="00D002B9">
        <w:t xml:space="preserve"> Chapter 314 </w:t>
      </w:r>
      <w:r w:rsidR="00191331">
        <w:t>as the single statewide interconnection framework applicable to all state-jurisdictional DERs</w:t>
      </w:r>
      <w:r w:rsidR="001E1B7B">
        <w:t xml:space="preserve"> (removing interconnection provisions currently contained in Chapter 315). </w:t>
      </w:r>
      <w:r w:rsidR="00C067BD">
        <w:t xml:space="preserve">Chapter 314 should be modernized </w:t>
      </w:r>
      <w:r w:rsidR="00D002B9">
        <w:t xml:space="preserve">to align with </w:t>
      </w:r>
      <w:r w:rsidR="00B06259">
        <w:t>national best practice models</w:t>
      </w:r>
      <w:r w:rsidR="005341F7">
        <w:t xml:space="preserve"> like </w:t>
      </w:r>
      <w:r w:rsidR="00D002B9">
        <w:t xml:space="preserve">the IREC </w:t>
      </w:r>
      <w:r w:rsidR="00D002B9" w:rsidRPr="00BB185E">
        <w:rPr>
          <w:i/>
        </w:rPr>
        <w:t>Model Interconnection Procedures</w:t>
      </w:r>
      <w:r w:rsidR="00D002B9">
        <w:rPr>
          <w:i/>
        </w:rPr>
        <w:t xml:space="preserve"> </w:t>
      </w:r>
      <w:r w:rsidR="00DD34C8">
        <w:t>and include</w:t>
      </w:r>
      <w:r w:rsidR="00D002B9">
        <w:t xml:space="preserve"> UL 1741 CRD and UL 3141 export-control standards. Sequence with the existing TIIR filing requirement under Case No. PUR-2023-00069 (due June 2027).</w:t>
      </w:r>
    </w:p>
    <w:p w14:paraId="530D814B" w14:textId="55AB8DBF" w:rsidR="00D002B9" w:rsidRDefault="00DD4905" w:rsidP="00D459B9">
      <w:pPr>
        <w:pStyle w:val="ListParagraph"/>
        <w:numPr>
          <w:ilvl w:val="0"/>
          <w:numId w:val="22"/>
        </w:numPr>
        <w:spacing w:before="120" w:after="120"/>
      </w:pPr>
      <w:r w:rsidRPr="0060595E">
        <w:rPr>
          <w:bCs/>
        </w:rPr>
        <w:t xml:space="preserve">The </w:t>
      </w:r>
      <w:r w:rsidR="00D002B9" w:rsidRPr="0060595E">
        <w:t>SCC</w:t>
      </w:r>
      <w:r w:rsidRPr="0060595E">
        <w:rPr>
          <w:bCs/>
        </w:rPr>
        <w:t xml:space="preserve"> should</w:t>
      </w:r>
      <w:r w:rsidRPr="00DD4905">
        <w:rPr>
          <w:bCs/>
        </w:rPr>
        <w:t xml:space="preserve"> </w:t>
      </w:r>
      <w:r>
        <w:t>e</w:t>
      </w:r>
      <w:r w:rsidR="00D002B9">
        <w:t>stablish a recurring reporting requirement (no less than every three years) on Chapter 314's alignment with current IEEE/UL standards and national best practice, with authority to initiate rulemaking on recommended updates.</w:t>
      </w:r>
    </w:p>
    <w:p w14:paraId="75F7604C" w14:textId="060DDE9C" w:rsidR="00D002B9" w:rsidRDefault="00DD4905" w:rsidP="00D459B9">
      <w:pPr>
        <w:pStyle w:val="ListParagraph"/>
        <w:numPr>
          <w:ilvl w:val="0"/>
          <w:numId w:val="22"/>
        </w:numPr>
        <w:spacing w:before="120" w:after="120"/>
      </w:pPr>
      <w:r w:rsidRPr="0060595E">
        <w:rPr>
          <w:bCs/>
        </w:rPr>
        <w:t xml:space="preserve">The </w:t>
      </w:r>
      <w:r w:rsidR="00D002B9" w:rsidRPr="0060595E">
        <w:t>SCC</w:t>
      </w:r>
      <w:r w:rsidRPr="0060595E">
        <w:rPr>
          <w:bCs/>
        </w:rPr>
        <w:t xml:space="preserve"> should</w:t>
      </w:r>
      <w:r w:rsidRPr="00DD4905">
        <w:rPr>
          <w:bCs/>
        </w:rPr>
        <w:t xml:space="preserve"> </w:t>
      </w:r>
      <w:r>
        <w:t>a</w:t>
      </w:r>
      <w:r w:rsidR="00D002B9">
        <w:t xml:space="preserve">dopt implementing rules governing DER Aggregator coordination with Electric Distribution Companies under PJM's DER Aggregator Participation Model (Order 2222 compliance framework) covering pre-registration data sharing, review-window criteria, and anti-double-counting provisions between retail and wholesale participation. </w:t>
      </w:r>
    </w:p>
    <w:p w14:paraId="2E3627F1" w14:textId="4959A6F9" w:rsidR="00D002B9" w:rsidRPr="005553F1" w:rsidRDefault="00D002B9" w:rsidP="00CE2521">
      <w:pPr>
        <w:pStyle w:val="Heading3"/>
        <w:spacing w:after="240"/>
        <w:rPr>
          <w:sz w:val="22"/>
          <w:szCs w:val="22"/>
        </w:rPr>
      </w:pPr>
      <w:bookmarkStart w:id="1249" w:name="_Toc953749016"/>
      <w:bookmarkStart w:id="1250" w:name="_Toc256611602"/>
      <w:bookmarkStart w:id="1251" w:name="_Toc929569470"/>
      <w:bookmarkStart w:id="1252" w:name="_Toc568761697"/>
      <w:bookmarkStart w:id="1253" w:name="_Toc191581650"/>
      <w:bookmarkStart w:id="1254" w:name="_Toc81734948"/>
      <w:bookmarkStart w:id="1255" w:name="_Toc94719302"/>
      <w:bookmarkStart w:id="1256" w:name="_Toc351345841"/>
      <w:bookmarkStart w:id="1257" w:name="_Toc639532713"/>
      <w:bookmarkStart w:id="1258" w:name="_Toc1789335241"/>
      <w:bookmarkStart w:id="1259" w:name="_Toc1483821302"/>
      <w:bookmarkStart w:id="1260" w:name="_Toc2057050451"/>
      <w:bookmarkStart w:id="1261" w:name="_Toc2037583137"/>
      <w:bookmarkStart w:id="1262" w:name="_Toc340545089"/>
      <w:bookmarkStart w:id="1263" w:name="_Toc1030117483"/>
      <w:bookmarkStart w:id="1264" w:name="_Toc1433965131"/>
      <w:bookmarkStart w:id="1265" w:name="_Toc1344194650"/>
      <w:bookmarkStart w:id="1266" w:name="_Toc1363316322"/>
      <w:bookmarkStart w:id="1267" w:name="_Toc510075767"/>
      <w:bookmarkStart w:id="1268" w:name="_Toc1640684206"/>
      <w:bookmarkStart w:id="1269" w:name="_Toc1387800835"/>
      <w:bookmarkStart w:id="1270" w:name="_Toc2022059210"/>
      <w:bookmarkStart w:id="1271" w:name="_Toc1196607066"/>
      <w:bookmarkStart w:id="1272" w:name="_Toc943075320"/>
      <w:bookmarkStart w:id="1273" w:name="_Toc1088757864"/>
      <w:bookmarkStart w:id="1274" w:name="_Toc1055705285"/>
      <w:bookmarkStart w:id="1275" w:name="_Toc963639789"/>
      <w:bookmarkStart w:id="1276" w:name="_Toc630156435"/>
      <w:bookmarkStart w:id="1277" w:name="_Toc988146514"/>
      <w:bookmarkStart w:id="1278" w:name="_Toc1116646329"/>
      <w:bookmarkStart w:id="1279" w:name="_Toc864601941"/>
      <w:bookmarkStart w:id="1280" w:name="_Toc1229536556"/>
      <w:bookmarkStart w:id="1281" w:name="_Toc922387381"/>
      <w:bookmarkStart w:id="1282" w:name="_Toc1985717241"/>
      <w:bookmarkStart w:id="1283" w:name="_Toc193022711"/>
      <w:bookmarkStart w:id="1284" w:name="_Toc327914823"/>
      <w:bookmarkStart w:id="1285" w:name="_Toc278771200"/>
      <w:bookmarkStart w:id="1286" w:name="_Toc1118868169"/>
      <w:bookmarkStart w:id="1287" w:name="_Toc1841922369"/>
      <w:bookmarkStart w:id="1288" w:name="_Toc862864884"/>
      <w:bookmarkStart w:id="1289" w:name="_Toc1199117665"/>
      <w:bookmarkStart w:id="1290" w:name="_Toc43902916"/>
      <w:bookmarkStart w:id="1291" w:name="_Toc1002148142"/>
      <w:bookmarkStart w:id="1292" w:name="_Toc2130028158"/>
      <w:bookmarkStart w:id="1293" w:name="_Toc1920337641"/>
      <w:bookmarkStart w:id="1294" w:name="_Toc1564033090"/>
      <w:bookmarkStart w:id="1295" w:name="_Toc2063690146"/>
      <w:bookmarkStart w:id="1296" w:name="_Toc1201871265"/>
      <w:bookmarkStart w:id="1297" w:name="_Toc825399167"/>
      <w:bookmarkStart w:id="1298" w:name="_Toc239862913"/>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rsidRPr="00CE2521">
        <w:rPr>
          <w:b/>
        </w:rPr>
        <w:t xml:space="preserve">Recommendation </w:t>
      </w:r>
      <w:r w:rsidR="00662E4E">
        <w:rPr>
          <w:b/>
          <w:bCs/>
        </w:rPr>
        <w:t>10</w:t>
      </w:r>
      <w:r w:rsidRPr="00CE2521">
        <w:rPr>
          <w:b/>
        </w:rPr>
        <w:t xml:space="preserve">: </w:t>
      </w:r>
      <w:r w:rsidR="007A3665" w:rsidRPr="00CE2521">
        <w:rPr>
          <w:b/>
        </w:rPr>
        <w:t xml:space="preserve">Explore </w:t>
      </w:r>
      <w:r w:rsidRPr="00CE2521">
        <w:rPr>
          <w:b/>
        </w:rPr>
        <w:t>Flexible Load Interconnection Opportunities</w:t>
      </w:r>
      <w:bookmarkEnd w:id="1298"/>
    </w:p>
    <w:p w14:paraId="6EA7046A" w14:textId="77777777" w:rsidR="00D002B9" w:rsidRDefault="00D002B9" w:rsidP="00D002B9">
      <w:r w:rsidRPr="00F74CDB">
        <w:rPr>
          <w:b/>
          <w:bCs/>
        </w:rPr>
        <w:t>Finding:</w:t>
      </w:r>
      <w:r>
        <w:t xml:space="preserve"> Virginia's current interconnection framework and cost-allocation rules are built around the generation side of DER interconnection (solar, storage) and do not extend equivalent treatment to new distributed load EV chargers, heat pumps, and similar electrification-driven demand. As electrification accelerates, new load can trigger the same kind of costly, time-consuming distribution upgrades that generation interconnection faces, but without a comparable cost-causation or cost-sharing framework to allocate those costs fairly between the interconnecting customer and the broader ratepayer base. Left unaddressed, this creates a parallel barrier to electrification on the load side that mirrors the barrier the Task Force's DER Interconnection recommendation addresses on the generation side.</w:t>
      </w:r>
    </w:p>
    <w:p w14:paraId="18615BBC" w14:textId="77777777" w:rsidR="00D002B9" w:rsidRDefault="00D002B9" w:rsidP="00D002B9"/>
    <w:p w14:paraId="6A08ED46" w14:textId="1BCD0A01" w:rsidR="00D002B9" w:rsidRDefault="00D002B9" w:rsidP="00D002B9">
      <w:pPr>
        <w:spacing w:after="100"/>
        <w:rPr>
          <w:b/>
        </w:rPr>
      </w:pPr>
      <w:r w:rsidRPr="003C4071">
        <w:rPr>
          <w:b/>
          <w:bCs/>
        </w:rPr>
        <w:t>Recommendation:</w:t>
      </w:r>
      <w:r>
        <w:rPr>
          <w:b/>
          <w:bCs/>
        </w:rPr>
        <w:t xml:space="preserve"> </w:t>
      </w:r>
      <w:r>
        <w:t>Establish interconnection standards and equitable cost-allocation rules for distributed load (EV chargers, heat pumps, etc.) that address cost causation barriers on the load side, mirroring the fairness principles already applied to generation interconnection.</w:t>
      </w:r>
      <w:r w:rsidRPr="00CE2521">
        <w:rPr>
          <w:b/>
        </w:rPr>
        <w:t xml:space="preserve"> Actions </w:t>
      </w:r>
      <w:r w:rsidR="00BB0256" w:rsidRPr="00CE2521">
        <w:rPr>
          <w:b/>
        </w:rPr>
        <w:t>could</w:t>
      </w:r>
      <w:r>
        <w:rPr>
          <w:b/>
        </w:rPr>
        <w:t xml:space="preserve"> </w:t>
      </w:r>
      <w:r w:rsidRPr="00CE2521">
        <w:rPr>
          <w:b/>
        </w:rPr>
        <w:t>include:</w:t>
      </w:r>
    </w:p>
    <w:p w14:paraId="15683B7F" w14:textId="14A2509D" w:rsidR="00D002B9" w:rsidRDefault="002C0ECE" w:rsidP="002C0ECE">
      <w:pPr>
        <w:pStyle w:val="ListParagraph"/>
        <w:numPr>
          <w:ilvl w:val="0"/>
          <w:numId w:val="149"/>
        </w:numPr>
        <w:spacing w:after="100"/>
      </w:pPr>
      <w:r w:rsidRPr="002C0ECE">
        <w:rPr>
          <w:b/>
          <w:bCs/>
        </w:rPr>
        <w:t xml:space="preserve">Establish </w:t>
      </w:r>
      <w:r w:rsidR="00F06CE4" w:rsidRPr="002C0ECE">
        <w:rPr>
          <w:b/>
          <w:bCs/>
        </w:rPr>
        <w:t>f</w:t>
      </w:r>
      <w:r w:rsidR="00D002B9" w:rsidRPr="002C0ECE">
        <w:rPr>
          <w:b/>
          <w:bCs/>
        </w:rPr>
        <w:t>lexible</w:t>
      </w:r>
      <w:r w:rsidR="00D002B9" w:rsidRPr="002C0ECE">
        <w:rPr>
          <w:b/>
        </w:rPr>
        <w:t xml:space="preserve"> service connections </w:t>
      </w:r>
      <w:r w:rsidRPr="002C0ECE">
        <w:rPr>
          <w:b/>
          <w:bCs/>
        </w:rPr>
        <w:t>pathways</w:t>
      </w:r>
      <w:r>
        <w:t xml:space="preserve"> </w:t>
      </w:r>
      <w:r w:rsidR="00D002B9" w:rsidRPr="00A32C8D">
        <w:t xml:space="preserve">(temporary or permanent managed-load solutions, letting new load connect without a full infrastructure upgrade) to reduce </w:t>
      </w:r>
      <w:r>
        <w:t xml:space="preserve">upfront cost </w:t>
      </w:r>
      <w:r w:rsidR="00D002B9" w:rsidRPr="00A32C8D">
        <w:t>barrier</w:t>
      </w:r>
      <w:r>
        <w:t>s</w:t>
      </w:r>
      <w:r w:rsidR="00D002B9" w:rsidRPr="00A32C8D">
        <w:t>. Both a temporary (defer the upgrade) and permanent (managed load control eliminates the need entirely) versions are possible</w:t>
      </w:r>
      <w:r w:rsidR="00D002B9">
        <w:t xml:space="preserve"> to allow new load to connect without a full upfront infrastructure upgrade</w:t>
      </w:r>
      <w:r w:rsidR="00511AC2">
        <w:t xml:space="preserve">. </w:t>
      </w:r>
    </w:p>
    <w:p w14:paraId="5ABF30FB" w14:textId="77777777" w:rsidR="00D002B9" w:rsidRDefault="00D002B9" w:rsidP="00D002B9"/>
    <w:p w14:paraId="31E713DA" w14:textId="75B1EB5D" w:rsidR="00D002B9" w:rsidRPr="00CE2521" w:rsidRDefault="00D002B9" w:rsidP="00CE2521">
      <w:pPr>
        <w:pStyle w:val="Heading3"/>
        <w:spacing w:after="240"/>
        <w:rPr>
          <w:b/>
        </w:rPr>
      </w:pPr>
      <w:bookmarkStart w:id="1299" w:name="_Toc239862914"/>
      <w:r w:rsidRPr="00CE2521">
        <w:rPr>
          <w:b/>
        </w:rPr>
        <w:t xml:space="preserve">Recommendation </w:t>
      </w:r>
      <w:r w:rsidR="00662E4E">
        <w:rPr>
          <w:b/>
          <w:bCs/>
        </w:rPr>
        <w:t>11</w:t>
      </w:r>
      <w:r w:rsidRPr="00CE2521">
        <w:rPr>
          <w:b/>
        </w:rPr>
        <w:t xml:space="preserve">: </w:t>
      </w:r>
      <w:r w:rsidR="007A3665" w:rsidRPr="00CE2521">
        <w:rPr>
          <w:b/>
        </w:rPr>
        <w:t xml:space="preserve">Continue Enhancing DER </w:t>
      </w:r>
      <w:r w:rsidRPr="00CE2521">
        <w:rPr>
          <w:b/>
        </w:rPr>
        <w:t>Permitting</w:t>
      </w:r>
      <w:bookmarkStart w:id="1300" w:name="_Toc1355427669"/>
      <w:bookmarkStart w:id="1301" w:name="_Toc157648344"/>
      <w:bookmarkStart w:id="1302" w:name="_Toc1537093385"/>
      <w:bookmarkStart w:id="1303" w:name="_Toc513403852"/>
      <w:bookmarkStart w:id="1304" w:name="_Toc79403389"/>
      <w:bookmarkStart w:id="1305" w:name="_Toc781003127"/>
      <w:bookmarkStart w:id="1306" w:name="_Toc482732887"/>
      <w:bookmarkStart w:id="1307" w:name="_Toc1305744423"/>
      <w:bookmarkStart w:id="1308" w:name="_Toc1701472323"/>
      <w:bookmarkStart w:id="1309" w:name="_Toc1642576074"/>
      <w:bookmarkStart w:id="1310" w:name="_Toc2021313596"/>
      <w:bookmarkStart w:id="1311" w:name="_Toc280906635"/>
      <w:bookmarkStart w:id="1312" w:name="_Toc1069754174"/>
      <w:bookmarkStart w:id="1313" w:name="_Toc369956548"/>
      <w:bookmarkStart w:id="1314" w:name="_Toc1857834720"/>
      <w:bookmarkStart w:id="1315" w:name="_Toc1857400503"/>
      <w:bookmarkStart w:id="1316" w:name="_Toc1504882321"/>
      <w:bookmarkStart w:id="1317" w:name="_Toc1347413656"/>
      <w:bookmarkStart w:id="1318" w:name="_Toc614279881"/>
      <w:bookmarkStart w:id="1319" w:name="_Toc1810361746"/>
      <w:bookmarkStart w:id="1320" w:name="_Toc969260444"/>
      <w:bookmarkStart w:id="1321" w:name="_Toc691016704"/>
      <w:bookmarkStart w:id="1322" w:name="_Toc1862965795"/>
      <w:bookmarkStart w:id="1323" w:name="_Toc216925927"/>
      <w:bookmarkStart w:id="1324" w:name="_Toc651615693"/>
      <w:bookmarkStart w:id="1325" w:name="_Toc719717054"/>
      <w:bookmarkStart w:id="1326" w:name="_Toc354836778"/>
      <w:bookmarkStart w:id="1327" w:name="_Toc1958952314"/>
      <w:bookmarkStart w:id="1328" w:name="_Toc2143247045"/>
      <w:bookmarkStart w:id="1329" w:name="_Toc1366055793"/>
      <w:bookmarkStart w:id="1330" w:name="_Toc1268939762"/>
      <w:bookmarkStart w:id="1331" w:name="_Toc2064917076"/>
      <w:bookmarkStart w:id="1332" w:name="_Toc672715881"/>
      <w:bookmarkStart w:id="1333" w:name="_Toc2109915452"/>
      <w:bookmarkStart w:id="1334" w:name="_Toc653247711"/>
      <w:bookmarkStart w:id="1335" w:name="_Toc312703640"/>
      <w:bookmarkStart w:id="1336" w:name="_Toc1215766624"/>
      <w:bookmarkStart w:id="1337" w:name="_Toc569648441"/>
      <w:bookmarkStart w:id="1338" w:name="_Toc1270290577"/>
      <w:bookmarkStart w:id="1339" w:name="_Toc1371201991"/>
      <w:bookmarkStart w:id="1340" w:name="_Toc1966626810"/>
      <w:bookmarkStart w:id="1341" w:name="_Toc1615311235"/>
      <w:bookmarkStart w:id="1342" w:name="_Toc768846587"/>
      <w:bookmarkStart w:id="1343" w:name="_Toc609469018"/>
      <w:bookmarkStart w:id="1344" w:name="_Toc2046688271"/>
      <w:bookmarkStart w:id="1345" w:name="_Toc1953304028"/>
      <w:bookmarkStart w:id="1346" w:name="_Toc1125046742"/>
      <w:bookmarkStart w:id="1347" w:name="_Toc1043550571"/>
      <w:bookmarkStart w:id="1348" w:name="_Toc1004353943"/>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9"/>
      <w:r w:rsidR="008B3268" w:rsidRPr="00CE2521">
        <w:rPr>
          <w:b/>
        </w:rPr>
        <w:t xml:space="preserve"> </w:t>
      </w:r>
    </w:p>
    <w:p w14:paraId="366BB494" w14:textId="2C3854F8" w:rsidR="007A3665" w:rsidRDefault="00D002B9" w:rsidP="00D459B9">
      <w:pPr>
        <w:spacing w:before="120" w:after="120"/>
      </w:pPr>
      <w:r w:rsidRPr="0052219D">
        <w:rPr>
          <w:b/>
          <w:bCs/>
        </w:rPr>
        <w:t>Finding:</w:t>
      </w:r>
      <w:r w:rsidR="0044371A">
        <w:t xml:space="preserve"> </w:t>
      </w:r>
      <w:r w:rsidRPr="006445DA">
        <w:t>Inconsistent</w:t>
      </w:r>
      <w:r w:rsidR="0010552D">
        <w:t xml:space="preserve"> application requirements</w:t>
      </w:r>
      <w:r w:rsidR="00BB07E9">
        <w:t xml:space="preserve"> and</w:t>
      </w:r>
      <w:r w:rsidRPr="006445DA">
        <w:t xml:space="preserve"> sometimes lengthy county-by-county permitting </w:t>
      </w:r>
      <w:r w:rsidR="00BB07E9">
        <w:t xml:space="preserve">processes </w:t>
      </w:r>
      <w:r w:rsidRPr="006445DA">
        <w:t>create unpredictable timelines</w:t>
      </w:r>
      <w:r>
        <w:t xml:space="preserve"> and</w:t>
      </w:r>
      <w:r w:rsidRPr="006445DA">
        <w:t xml:space="preserve"> </w:t>
      </w:r>
      <w:r>
        <w:t>contribute to</w:t>
      </w:r>
      <w:r w:rsidRPr="006445DA">
        <w:t xml:space="preserve"> total system </w:t>
      </w:r>
      <w:r w:rsidR="00BE307F">
        <w:t>costs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r>
        <w:t>.</w:t>
      </w:r>
      <w:r w:rsidR="007637AE">
        <w:t xml:space="preserve"> </w:t>
      </w:r>
      <w:r w:rsidR="00E80FEF">
        <w:t xml:space="preserve">The Smart Solar permitting platform established by </w:t>
      </w:r>
      <w:r w:rsidR="00AB107D">
        <w:t>HB590/SB382</w:t>
      </w:r>
      <w:r w:rsidR="00EA4355">
        <w:t xml:space="preserve"> </w:t>
      </w:r>
      <w:r w:rsidR="0058441A">
        <w:t xml:space="preserve">and scheduled to go live in 2027 </w:t>
      </w:r>
      <w:r w:rsidR="0009377E">
        <w:t xml:space="preserve">will </w:t>
      </w:r>
      <w:r w:rsidR="008E529B">
        <w:t xml:space="preserve">begin addressing some </w:t>
      </w:r>
      <w:r w:rsidR="0058105A">
        <w:t>of these barriers</w:t>
      </w:r>
      <w:r w:rsidR="0009377E">
        <w:t xml:space="preserve"> </w:t>
      </w:r>
      <w:r w:rsidR="305CBD6E">
        <w:t xml:space="preserve">for residential solar </w:t>
      </w:r>
      <w:r w:rsidR="0058105A">
        <w:t>as it becomes</w:t>
      </w:r>
      <w:r w:rsidR="00B50C80">
        <w:t xml:space="preserve"> </w:t>
      </w:r>
      <w:r w:rsidR="00704084">
        <w:t>integrated</w:t>
      </w:r>
      <w:r w:rsidR="00B50C80">
        <w:t xml:space="preserve"> </w:t>
      </w:r>
      <w:r w:rsidR="0058105A">
        <w:t xml:space="preserve">as standard practice </w:t>
      </w:r>
      <w:r w:rsidR="00B50C80">
        <w:t xml:space="preserve">across the state. </w:t>
      </w:r>
    </w:p>
    <w:p w14:paraId="2E1885FB" w14:textId="17742EAB" w:rsidR="00D002B9" w:rsidRDefault="007A3665" w:rsidP="00D459B9">
      <w:pPr>
        <w:spacing w:before="120" w:after="120"/>
      </w:pPr>
      <w:r>
        <w:t xml:space="preserve">Some stakeholders noted that </w:t>
      </w:r>
      <w:r w:rsidR="00B50C80">
        <w:t xml:space="preserve">changes to the Virginia Existing Building Code (VEBC) </w:t>
      </w:r>
      <w:r>
        <w:t xml:space="preserve">could help </w:t>
      </w:r>
      <w:r w:rsidR="00206F2D">
        <w:t xml:space="preserve">streamline </w:t>
      </w:r>
      <w:r w:rsidR="009D7147">
        <w:t>installation</w:t>
      </w:r>
      <w:r w:rsidR="00704084">
        <w:t xml:space="preserve"> barrier</w:t>
      </w:r>
      <w:r>
        <w:t>s and could be an area for further enhancement.</w:t>
      </w:r>
      <w:r w:rsidR="009B084C">
        <w:rPr>
          <w:rStyle w:val="FootnoteReference"/>
        </w:rPr>
        <w:footnoteReference w:id="58"/>
      </w:r>
      <w:r>
        <w:t xml:space="preserve"> </w:t>
      </w:r>
    </w:p>
    <w:p w14:paraId="7DD8BF2D" w14:textId="446A96A6" w:rsidR="00D002B9" w:rsidRPr="00AA25C7" w:rsidRDefault="00D002B9" w:rsidP="00D002B9">
      <w:pPr>
        <w:rPr>
          <w:b/>
          <w:bCs/>
        </w:rPr>
      </w:pPr>
      <w:r w:rsidRPr="00AA25C7">
        <w:rPr>
          <w:b/>
          <w:bCs/>
        </w:rPr>
        <w:t>Recommend</w:t>
      </w:r>
      <w:r>
        <w:rPr>
          <w:b/>
          <w:bCs/>
        </w:rPr>
        <w:t xml:space="preserve">ation: </w:t>
      </w:r>
      <w:r w:rsidRPr="00AA25C7">
        <w:t xml:space="preserve">Continue supporting HB590/SB382 implementation </w:t>
      </w:r>
      <w:r>
        <w:t xml:space="preserve">to deploy an automated </w:t>
      </w:r>
      <w:r w:rsidRPr="00AA25C7">
        <w:t xml:space="preserve">Smart Solar </w:t>
      </w:r>
      <w:r>
        <w:t xml:space="preserve">Permitting Platform </w:t>
      </w:r>
      <w:r w:rsidRPr="00AA25C7">
        <w:t xml:space="preserve">statewide to help reduce </w:t>
      </w:r>
      <w:r w:rsidR="1B52146C">
        <w:t xml:space="preserve">residential solar </w:t>
      </w:r>
      <w:r w:rsidRPr="00AA25C7">
        <w:t>project costs and timelines</w:t>
      </w:r>
      <w:r w:rsidR="00C24B04">
        <w:t xml:space="preserve"> near-term. Identify and support additional permitting streamlining opportunities as needed</w:t>
      </w:r>
      <w:r w:rsidRPr="00AA25C7" w:rsidDel="00C24B04">
        <w:t>.</w:t>
      </w:r>
      <w:r w:rsidRPr="007B39A1">
        <w:t xml:space="preserve"> </w:t>
      </w:r>
      <w:r w:rsidRPr="00CE2521">
        <w:rPr>
          <w:b/>
        </w:rPr>
        <w:t xml:space="preserve">Actions </w:t>
      </w:r>
      <w:r w:rsidR="00BB0256" w:rsidRPr="00CE2521">
        <w:rPr>
          <w:b/>
        </w:rPr>
        <w:t>could</w:t>
      </w:r>
      <w:r w:rsidRPr="00CE2521">
        <w:rPr>
          <w:b/>
        </w:rPr>
        <w:t xml:space="preserve"> include: </w:t>
      </w:r>
    </w:p>
    <w:p w14:paraId="4772DBDE" w14:textId="33B4DAC1" w:rsidR="00D002B9" w:rsidRDefault="0044371A" w:rsidP="00D002B9">
      <w:pPr>
        <w:pStyle w:val="ListParagraph"/>
        <w:numPr>
          <w:ilvl w:val="0"/>
          <w:numId w:val="11"/>
        </w:numPr>
        <w:spacing w:before="120" w:after="120"/>
      </w:pPr>
      <w:r>
        <w:t>Virginia Energy should c</w:t>
      </w:r>
      <w:r w:rsidR="00D002B9">
        <w:t xml:space="preserve">ontinue </w:t>
      </w:r>
      <w:r>
        <w:t>its</w:t>
      </w:r>
      <w:r w:rsidR="00D002B9">
        <w:t xml:space="preserve"> implementation and outreach strategy to support timely and broad adoption of a Smart Solar</w:t>
      </w:r>
      <w:r w:rsidR="00D002B9" w:rsidRPr="00F21CE8">
        <w:t xml:space="preserve"> </w:t>
      </w:r>
      <w:r w:rsidR="00D002B9">
        <w:t xml:space="preserve">Permitting Platform to streamline </w:t>
      </w:r>
      <w:r w:rsidR="3E5E6904">
        <w:t xml:space="preserve">residential </w:t>
      </w:r>
      <w:r w:rsidR="00D002B9">
        <w:t>permitting processes</w:t>
      </w:r>
      <w:r w:rsidR="00D002B9" w:rsidRPr="00F21CE8">
        <w:t xml:space="preserve">. </w:t>
      </w:r>
    </w:p>
    <w:p w14:paraId="1C699FEE" w14:textId="788A78EC" w:rsidR="00D002B9" w:rsidRPr="00CE2521" w:rsidRDefault="00D002B9" w:rsidP="00CE2521">
      <w:pPr>
        <w:pStyle w:val="Heading3"/>
        <w:spacing w:after="240"/>
        <w:rPr>
          <w:b/>
        </w:rPr>
      </w:pPr>
      <w:bookmarkStart w:id="1349" w:name="_Toc239862915"/>
      <w:r w:rsidRPr="00CE2521">
        <w:rPr>
          <w:b/>
        </w:rPr>
        <w:t xml:space="preserve">Recommendation </w:t>
      </w:r>
      <w:r w:rsidR="00662E4E">
        <w:rPr>
          <w:b/>
          <w:bCs/>
        </w:rPr>
        <w:t>12</w:t>
      </w:r>
      <w:r w:rsidRPr="00CE2521">
        <w:rPr>
          <w:b/>
        </w:rPr>
        <w:t xml:space="preserve">: </w:t>
      </w:r>
      <w:r w:rsidR="002D260D" w:rsidRPr="00CE2521">
        <w:rPr>
          <w:b/>
        </w:rPr>
        <w:t xml:space="preserve">Support </w:t>
      </w:r>
      <w:r w:rsidRPr="00CE2521">
        <w:rPr>
          <w:b/>
        </w:rPr>
        <w:t>Energy Efficiency</w:t>
      </w:r>
      <w:r w:rsidR="002D260D" w:rsidRPr="00CE2521">
        <w:rPr>
          <w:b/>
        </w:rPr>
        <w:t xml:space="preserve"> Adoption</w:t>
      </w:r>
      <w:bookmarkEnd w:id="1349"/>
    </w:p>
    <w:p w14:paraId="135D2ED0" w14:textId="7E765756" w:rsidR="00D002B9" w:rsidRDefault="00D002B9" w:rsidP="00D459B9">
      <w:pPr>
        <w:spacing w:before="120" w:after="120"/>
      </w:pPr>
      <w:bookmarkStart w:id="1350" w:name="_Toc675478471"/>
      <w:bookmarkStart w:id="1351" w:name="_Toc1119091401"/>
      <w:bookmarkStart w:id="1352" w:name="_Toc587983111"/>
      <w:bookmarkStart w:id="1353" w:name="_Toc1347512718"/>
      <w:bookmarkStart w:id="1354" w:name="_Toc1243859938"/>
      <w:bookmarkStart w:id="1355" w:name="_Toc1048309430"/>
      <w:bookmarkStart w:id="1356" w:name="_Toc1559913185"/>
      <w:bookmarkStart w:id="1357" w:name="_Toc907350743"/>
      <w:bookmarkStart w:id="1358" w:name="_Toc702462405"/>
      <w:bookmarkStart w:id="1359" w:name="_Toc72017981"/>
      <w:bookmarkStart w:id="1360" w:name="_Toc450683032"/>
      <w:bookmarkStart w:id="1361" w:name="_Toc2126675594"/>
      <w:bookmarkStart w:id="1362" w:name="_Toc513801986"/>
      <w:bookmarkStart w:id="1363" w:name="_Toc185914267"/>
      <w:bookmarkStart w:id="1364" w:name="_Toc1532863579"/>
      <w:bookmarkStart w:id="1365" w:name="_Toc1640394358"/>
      <w:bookmarkStart w:id="1366" w:name="_Toc1535730655"/>
      <w:bookmarkStart w:id="1367" w:name="_Toc979689185"/>
      <w:bookmarkStart w:id="1368" w:name="_Toc2073487386"/>
      <w:bookmarkStart w:id="1369" w:name="_Toc610526258"/>
      <w:bookmarkStart w:id="1370" w:name="_Toc1865030921"/>
      <w:bookmarkStart w:id="1371" w:name="_Toc1542692091"/>
      <w:bookmarkStart w:id="1372" w:name="_Toc369560817"/>
      <w:bookmarkStart w:id="1373" w:name="_Toc1575262463"/>
      <w:bookmarkStart w:id="1374" w:name="_Toc2066029314"/>
      <w:bookmarkStart w:id="1375" w:name="_Toc2144232746"/>
      <w:bookmarkStart w:id="1376" w:name="_Toc1123566839"/>
      <w:bookmarkStart w:id="1377" w:name="_Toc1391648316"/>
      <w:bookmarkStart w:id="1378" w:name="_Toc713627097"/>
      <w:bookmarkStart w:id="1379" w:name="_Toc57323289"/>
      <w:bookmarkStart w:id="1380" w:name="_Toc643097632"/>
      <w:bookmarkStart w:id="1381" w:name="_Toc1064462480"/>
      <w:bookmarkStart w:id="1382" w:name="_Toc814076307"/>
      <w:bookmarkStart w:id="1383" w:name="_Toc1546103184"/>
      <w:bookmarkStart w:id="1384" w:name="_Toc1029881806"/>
      <w:bookmarkStart w:id="1385" w:name="_Toc96131107"/>
      <w:bookmarkStart w:id="1386" w:name="_Toc576412081"/>
      <w:bookmarkStart w:id="1387" w:name="_Toc579542308"/>
      <w:bookmarkStart w:id="1388" w:name="_Toc129775931"/>
      <w:bookmarkStart w:id="1389" w:name="_Toc2100363062"/>
      <w:bookmarkStart w:id="1390" w:name="_Toc273966446"/>
      <w:bookmarkStart w:id="1391" w:name="_Toc378012942"/>
      <w:bookmarkStart w:id="1392" w:name="_Toc1498598622"/>
      <w:bookmarkStart w:id="1393" w:name="_Toc1137112376"/>
      <w:bookmarkStart w:id="1394" w:name="_Toc169680960"/>
      <w:bookmarkStart w:id="1395" w:name="_Toc1995602107"/>
      <w:bookmarkStart w:id="1396" w:name="_Toc235878196"/>
      <w:bookmarkStart w:id="1397" w:name="_Toc9089895"/>
      <w:bookmarkStart w:id="1398" w:name="_Toc87173088"/>
      <w:r w:rsidRPr="0027163A">
        <w:rPr>
          <w:b/>
          <w:bCs/>
        </w:rPr>
        <w:t>Finding:</w:t>
      </w:r>
      <w:r>
        <w:t xml:space="preserve"> </w:t>
      </w:r>
      <w:r w:rsidRPr="006445DA">
        <w:t xml:space="preserve">Energy efficiency </w:t>
      </w:r>
      <w:r>
        <w:t xml:space="preserve">was highlighted during the Task Force as one of the </w:t>
      </w:r>
      <w:r w:rsidRPr="006445DA">
        <w:t>most cost-effective lever</w:t>
      </w:r>
      <w:r>
        <w:t>s</w:t>
      </w:r>
      <w:r w:rsidRPr="006445DA">
        <w:t xml:space="preserve"> </w:t>
      </w:r>
      <w:r>
        <w:t>to improve household affordability</w:t>
      </w:r>
      <w:r w:rsidR="00416D72">
        <w:t xml:space="preserve"> and reduce energy consumption</w:t>
      </w:r>
      <w:r>
        <w:t xml:space="preserve">. Energy efficiency can also complement other DER and VPP deployments as it right-sizes asset </w:t>
      </w:r>
      <w:r w:rsidRPr="006445DA">
        <w:t>sizing</w:t>
      </w:r>
      <w:r>
        <w:t xml:space="preserve"> and </w:t>
      </w:r>
      <w:r w:rsidRPr="006445DA">
        <w:t>economics.</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r>
        <w:t xml:space="preserve"> </w:t>
      </w:r>
    </w:p>
    <w:p w14:paraId="694C0E65" w14:textId="4DB9638F" w:rsidR="00D002B9" w:rsidRDefault="00D002B9" w:rsidP="00D459B9">
      <w:pPr>
        <w:spacing w:before="120" w:after="120"/>
        <w:rPr>
          <w:rFonts w:eastAsia="Georgia"/>
          <w:b/>
          <w:bCs/>
          <w:color w:val="3D4A5C"/>
          <w:sz w:val="23"/>
          <w:szCs w:val="23"/>
        </w:rPr>
      </w:pPr>
      <w:r w:rsidRPr="00454105">
        <w:rPr>
          <w:b/>
          <w:bCs/>
        </w:rPr>
        <w:t xml:space="preserve">Recommendation: </w:t>
      </w:r>
      <w:r w:rsidRPr="00416D72">
        <w:t>Continue prioritizing energy efficiency and electrification measures as affordability and load flexibility/reduction tools by offering programs that incentivize electrification and reduce energy use, such as the forthcoming $180 million DOE-funded Home Energy Rebates program.</w:t>
      </w:r>
      <w:r w:rsidRPr="00416D72">
        <w:rPr>
          <w:b/>
        </w:rPr>
        <w:t xml:space="preserve"> </w:t>
      </w:r>
    </w:p>
    <w:p w14:paraId="6B2C2E89" w14:textId="734DF33D" w:rsidR="00C90224" w:rsidRPr="00CE2521" w:rsidRDefault="00C90224" w:rsidP="00CE2521">
      <w:pPr>
        <w:pStyle w:val="Heading3"/>
        <w:spacing w:after="240"/>
        <w:rPr>
          <w:b/>
        </w:rPr>
      </w:pPr>
      <w:bookmarkStart w:id="1399" w:name="_Toc239862916"/>
      <w:r w:rsidRPr="00CE2521">
        <w:rPr>
          <w:b/>
        </w:rPr>
        <w:t xml:space="preserve">Recommendation </w:t>
      </w:r>
      <w:r w:rsidR="00662E4E">
        <w:rPr>
          <w:b/>
          <w:bCs/>
        </w:rPr>
        <w:t>13</w:t>
      </w:r>
      <w:r w:rsidRPr="00CE2521">
        <w:rPr>
          <w:b/>
        </w:rPr>
        <w:t>: Build the DER Workforce</w:t>
      </w:r>
      <w:bookmarkEnd w:id="1399"/>
    </w:p>
    <w:p w14:paraId="1DC907F1" w14:textId="21BCA7A0" w:rsidR="00AA0592" w:rsidRDefault="00C90224" w:rsidP="00D459B9">
      <w:pPr>
        <w:spacing w:before="120" w:after="120"/>
      </w:pPr>
      <w:r w:rsidRPr="00033AB2">
        <w:rPr>
          <w:b/>
          <w:bCs/>
        </w:rPr>
        <w:t>Finding:</w:t>
      </w:r>
      <w:r>
        <w:t xml:space="preserve"> </w:t>
      </w:r>
      <w:r w:rsidRPr="00CD2B8E">
        <w:t>Virginia needs thousands of workers over the next decade to build the DER capacity required under the Virginia Energy Plan; existing training pipelines could be scaled statewide, with rural</w:t>
      </w:r>
      <w:r>
        <w:t xml:space="preserve"> and </w:t>
      </w:r>
      <w:r w:rsidRPr="00CD2B8E">
        <w:t>coalfield regions particularly underserved; separately, under-qualified or predatory installers remain a consumer-protection risk, diverse-owned contractors are underrepresented, and utility engineering staff capacity (for interconnection/hosting-capacity work) faces the same national talent squeeze as the installer workforce.</w:t>
      </w:r>
    </w:p>
    <w:p w14:paraId="1662AD95" w14:textId="4CC32CB0" w:rsidR="00AA0592" w:rsidRPr="000A4F71" w:rsidRDefault="00AA0592" w:rsidP="00D459B9">
      <w:pPr>
        <w:spacing w:before="120" w:after="120" w:line="278" w:lineRule="auto"/>
        <w:contextualSpacing/>
      </w:pPr>
      <w:r>
        <w:t xml:space="preserve">Task Force members and industry stakeholders noted opportunities to pair </w:t>
      </w:r>
      <w:r w:rsidRPr="0037634A">
        <w:t xml:space="preserve">market deployment </w:t>
      </w:r>
      <w:r>
        <w:t xml:space="preserve">efforts </w:t>
      </w:r>
      <w:r w:rsidRPr="0037634A">
        <w:t xml:space="preserve">with </w:t>
      </w:r>
      <w:r>
        <w:t xml:space="preserve">support for </w:t>
      </w:r>
      <w:r w:rsidRPr="0037634A">
        <w:t xml:space="preserve">workforce pipelines, apprenticeships, </w:t>
      </w:r>
      <w:r>
        <w:t xml:space="preserve">and </w:t>
      </w:r>
      <w:r w:rsidRPr="0037634A">
        <w:t>community-college training</w:t>
      </w:r>
      <w:r>
        <w:t xml:space="preserve"> programs.  </w:t>
      </w:r>
    </w:p>
    <w:p w14:paraId="046C9E17" w14:textId="77777777" w:rsidR="00C90224" w:rsidRDefault="00C90224" w:rsidP="00C90224"/>
    <w:p w14:paraId="609EA5C0" w14:textId="74200EDC" w:rsidR="00C90224" w:rsidRDefault="00C90224" w:rsidP="00C90224">
      <w:r w:rsidRPr="0079082E">
        <w:rPr>
          <w:b/>
          <w:bCs/>
        </w:rPr>
        <w:t>Recommendation:</w:t>
      </w:r>
      <w:r>
        <w:t xml:space="preserve"> </w:t>
      </w:r>
      <w:r w:rsidRPr="00737FDD">
        <w:t>Conduct a workforce needs and gap assessment centered on DER technologies under Virginia's existing "Clean Energy Workforce Programs" umbrella; use assessment results to develop targeted training programs</w:t>
      </w:r>
      <w:r>
        <w:t xml:space="preserve"> which aim to</w:t>
      </w:r>
      <w:r w:rsidRPr="00737FDD">
        <w:t xml:space="preserve"> </w:t>
      </w:r>
      <w:r>
        <w:t>s</w:t>
      </w:r>
      <w:r w:rsidRPr="00737FDD">
        <w:t>cale Virginia's DER/solar workforce pipeline statewide.</w:t>
      </w:r>
      <w:r>
        <w:t xml:space="preserve"> </w:t>
      </w:r>
      <w:r w:rsidR="00BB0256" w:rsidRPr="00BB0256">
        <w:rPr>
          <w:b/>
          <w:bCs/>
        </w:rPr>
        <w:t xml:space="preserve"> </w:t>
      </w:r>
      <w:r w:rsidR="00BB0256" w:rsidRPr="00795875">
        <w:rPr>
          <w:b/>
          <w:bCs/>
        </w:rPr>
        <w:t xml:space="preserve">Actions could include: </w:t>
      </w:r>
    </w:p>
    <w:p w14:paraId="4BC09952" w14:textId="1D69BB1C" w:rsidR="00BB0256" w:rsidRPr="00467EA9" w:rsidRDefault="00C90224" w:rsidP="00D459B9">
      <w:pPr>
        <w:pStyle w:val="ListParagraph"/>
        <w:numPr>
          <w:ilvl w:val="0"/>
          <w:numId w:val="27"/>
        </w:numPr>
        <w:spacing w:before="120" w:after="120"/>
      </w:pPr>
      <w:r w:rsidRPr="00CE2521">
        <w:t>Virginia Energy should use</w:t>
      </w:r>
      <w:r w:rsidRPr="00467EA9">
        <w:t xml:space="preserve"> gap assessment findings</w:t>
      </w:r>
      <w:r>
        <w:t xml:space="preserve"> to</w:t>
      </w:r>
      <w:r w:rsidRPr="00467EA9">
        <w:t xml:space="preserve"> work through Virginia's Clean Energy Workforce Programs (CEWP) framework (i.e., partnerships through apprenticeships, community colleges, technical schools) to offer training programs for targeted career pathways and skills.</w:t>
      </w:r>
    </w:p>
    <w:p w14:paraId="533D7A71" w14:textId="1A5B1418" w:rsidR="00C90224" w:rsidRPr="00CE2521" w:rsidRDefault="00C90224" w:rsidP="00D459B9">
      <w:pPr>
        <w:pStyle w:val="ListParagraph"/>
        <w:numPr>
          <w:ilvl w:val="0"/>
          <w:numId w:val="27"/>
        </w:numPr>
        <w:spacing w:before="120" w:after="120"/>
        <w:rPr>
          <w:rFonts w:eastAsia="Georgia"/>
          <w:b/>
          <w:color w:val="3D4A5C"/>
          <w:sz w:val="23"/>
          <w:szCs w:val="23"/>
        </w:rPr>
      </w:pPr>
      <w:r w:rsidRPr="00FB7CC3">
        <w:t>Reinstate the Virginia Department of Labor and Industry’s solar apprenticeship program for students.</w:t>
      </w:r>
      <w:r w:rsidRPr="00C90224">
        <w:rPr>
          <w:b/>
          <w:bCs/>
        </w:rPr>
        <w:t xml:space="preserve"> </w:t>
      </w:r>
    </w:p>
    <w:p w14:paraId="10F283FE" w14:textId="7C0E3A07" w:rsidR="00511AC2" w:rsidRPr="00CE2521" w:rsidRDefault="00511AC2" w:rsidP="00CE2521">
      <w:pPr>
        <w:pStyle w:val="Heading3"/>
        <w:spacing w:after="240"/>
        <w:rPr>
          <w:b/>
        </w:rPr>
      </w:pPr>
      <w:bookmarkStart w:id="1400" w:name="_Toc239862917"/>
      <w:r w:rsidRPr="00CE2521">
        <w:rPr>
          <w:b/>
        </w:rPr>
        <w:t xml:space="preserve">Recommendation </w:t>
      </w:r>
      <w:r w:rsidR="00662E4E">
        <w:rPr>
          <w:b/>
          <w:bCs/>
        </w:rPr>
        <w:t>14</w:t>
      </w:r>
      <w:r w:rsidRPr="00CE2521">
        <w:rPr>
          <w:b/>
        </w:rPr>
        <w:t xml:space="preserve">: </w:t>
      </w:r>
      <w:r w:rsidR="00A91970" w:rsidRPr="00CE2521">
        <w:rPr>
          <w:b/>
        </w:rPr>
        <w:t xml:space="preserve">Enhance </w:t>
      </w:r>
      <w:r w:rsidRPr="00CE2521">
        <w:rPr>
          <w:b/>
        </w:rPr>
        <w:t>Customer Education and Outreach</w:t>
      </w:r>
      <w:bookmarkEnd w:id="1400"/>
      <w:r w:rsidRPr="00CE2521">
        <w:rPr>
          <w:b/>
        </w:rPr>
        <w:t xml:space="preserve"> </w:t>
      </w:r>
    </w:p>
    <w:p w14:paraId="671DCFBD" w14:textId="1AD2F3BB" w:rsidR="00405997" w:rsidRDefault="00511AC2" w:rsidP="00D459B9">
      <w:pPr>
        <w:pStyle w:val="ListParagraph"/>
        <w:spacing w:before="120" w:after="120"/>
      </w:pPr>
      <w:r>
        <w:rPr>
          <w:b/>
          <w:bCs/>
        </w:rPr>
        <w:t xml:space="preserve">Finding: </w:t>
      </w:r>
      <w:r w:rsidR="00AF0882" w:rsidRPr="00CE2521">
        <w:t xml:space="preserve">There is significant work to be done to improve public education, awareness, and consumer confidence around DERs and VPPs across the Commonwealth. Awareness remains uneven—particularly among Spanish-speaking, low-income, rural, and non-homeowning customers—and technical, utility-specific messaging can be fragmented, inconsistent, and difficult for customers to navigate. </w:t>
      </w:r>
      <w:r w:rsidR="00AF0882">
        <w:t>Industry stakeholders noted that c</w:t>
      </w:r>
      <w:r w:rsidR="00AF0882" w:rsidRPr="00CE2521">
        <w:t>ustomers respond most clearly to practical benefits, including lower or more predictable bills, backup power, resilience, and energy independence, rather than technical VPP terminology.</w:t>
      </w:r>
      <w:r w:rsidR="00AF0882">
        <w:t xml:space="preserve"> </w:t>
      </w:r>
      <w:r w:rsidR="007951AE" w:rsidRPr="007951AE">
        <w:t xml:space="preserve">As retail DER deployment grows, Virginia should also anticipate risks of misleading sales claims, predatory market actors, inadequate long-term vendor service, and customer confusion about costs, savings, data use, dispatch of customer equipment, and opt-out rights. These risks can erode consumer trust in individual projects and in DER programs more broadly. </w:t>
      </w:r>
      <w:r w:rsidR="007951AE">
        <w:t>Task Force members and s</w:t>
      </w:r>
      <w:r w:rsidR="007951AE" w:rsidRPr="007951AE">
        <w:t xml:space="preserve">takeholders emphasized that visible successful projects, trusted local messengers, clear customer terms, and a reliable permitting/interconnection experience are necessary to build durable confidence. </w:t>
      </w:r>
      <w:r w:rsidR="007951AE">
        <w:t xml:space="preserve"> </w:t>
      </w:r>
      <w:r w:rsidR="00C0117D" w:rsidRPr="00766666">
        <w:t xml:space="preserve">New York’s use of a state energy office for consumer-facing tools and program implementation </w:t>
      </w:r>
      <w:r w:rsidR="00C0117D">
        <w:t>was noted as</w:t>
      </w:r>
      <w:r w:rsidR="00C0117D" w:rsidRPr="00766666">
        <w:t xml:space="preserve"> a relevant model</w:t>
      </w:r>
      <w:r w:rsidR="00C0117D">
        <w:t>.</w:t>
      </w:r>
    </w:p>
    <w:p w14:paraId="0CF06C1C" w14:textId="78538893" w:rsidR="00405997" w:rsidRDefault="00405997" w:rsidP="00D459B9">
      <w:pPr>
        <w:pStyle w:val="ListParagraph"/>
        <w:spacing w:before="120" w:after="120"/>
      </w:pPr>
      <w:r>
        <w:t xml:space="preserve">Specific ideas </w:t>
      </w:r>
      <w:r w:rsidR="00B82637">
        <w:t xml:space="preserve">raised </w:t>
      </w:r>
      <w:r>
        <w:t xml:space="preserve">for improved customer </w:t>
      </w:r>
      <w:r w:rsidR="00B82637">
        <w:t xml:space="preserve">education and </w:t>
      </w:r>
      <w:r>
        <w:t xml:space="preserve">outreach included: </w:t>
      </w:r>
    </w:p>
    <w:p w14:paraId="3251932C" w14:textId="07CEB000" w:rsidR="00405997" w:rsidRPr="00405997" w:rsidRDefault="00405997" w:rsidP="00D459B9">
      <w:pPr>
        <w:pStyle w:val="ListParagraph"/>
        <w:numPr>
          <w:ilvl w:val="0"/>
          <w:numId w:val="50"/>
        </w:numPr>
        <w:spacing w:before="120"/>
      </w:pPr>
      <w:r w:rsidRPr="00405997">
        <w:t xml:space="preserve">Create a neutral, multilingual </w:t>
      </w:r>
      <w:r w:rsidRPr="00CE2521">
        <w:t>one-stop enrollment and information process</w:t>
      </w:r>
      <w:r w:rsidRPr="00405997">
        <w:t xml:space="preserve"> for DER and VPP programs, with clear explanations of eligibility, expected costs and savings, incentives, participation terms, and available assistance. The state should help legitimize and simplify enrollment while utilities and vendors conduct outreach. </w:t>
      </w:r>
    </w:p>
    <w:p w14:paraId="7E87C2CA" w14:textId="3F913FA5" w:rsidR="00405997" w:rsidRPr="00405997" w:rsidRDefault="00405997" w:rsidP="00D459B9">
      <w:pPr>
        <w:pStyle w:val="ListParagraph"/>
        <w:numPr>
          <w:ilvl w:val="0"/>
          <w:numId w:val="50"/>
        </w:numPr>
        <w:spacing w:before="120"/>
      </w:pPr>
      <w:r w:rsidRPr="00405997">
        <w:t>Use trusted local messengers—such as schools, local governments, Farm Bureau, community organizations—to deliver practical, community-specific education and showcase visible demonstration projects.</w:t>
      </w:r>
      <w:r>
        <w:t xml:space="preserve"> Establish</w:t>
      </w:r>
      <w:r w:rsidRPr="000971CE">
        <w:t xml:space="preserve"> </w:t>
      </w:r>
      <w:r>
        <w:t>c</w:t>
      </w:r>
      <w:r w:rsidRPr="000971CE">
        <w:t xml:space="preserve">ommunity </w:t>
      </w:r>
      <w:r>
        <w:t>g</w:t>
      </w:r>
      <w:r w:rsidRPr="000971CE">
        <w:t xml:space="preserve">rants </w:t>
      </w:r>
      <w:r>
        <w:t>for</w:t>
      </w:r>
      <w:r w:rsidRPr="000971CE">
        <w:t xml:space="preserve"> trusted local</w:t>
      </w:r>
      <w:r>
        <w:t xml:space="preserve"> </w:t>
      </w:r>
      <w:r w:rsidRPr="000971CE">
        <w:t>community organizations</w:t>
      </w:r>
      <w:r>
        <w:t xml:space="preserve"> to educate residents on how to access community solar and storage and lower energy costs through aggregation</w:t>
      </w:r>
      <w:r w:rsidRPr="000971CE">
        <w:t>, prioritizing underserved and Spanish-speaking population</w:t>
      </w:r>
      <w:r>
        <w:t>s.</w:t>
      </w:r>
      <w:r w:rsidRPr="00405997">
        <w:t xml:space="preserve"> </w:t>
      </w:r>
    </w:p>
    <w:p w14:paraId="3948CE59" w14:textId="447727AC" w:rsidR="00405997" w:rsidRPr="00405997" w:rsidRDefault="00405997" w:rsidP="00D459B9">
      <w:pPr>
        <w:pStyle w:val="ListParagraph"/>
        <w:numPr>
          <w:ilvl w:val="0"/>
          <w:numId w:val="50"/>
        </w:numPr>
        <w:spacing w:before="120"/>
      </w:pPr>
      <w:r w:rsidRPr="00405997">
        <w:t>Establish standardized consumer disclosures for DER and VPP offer</w:t>
      </w:r>
      <w:r w:rsidR="00860E03">
        <w:t xml:space="preserve">s (e.g., </w:t>
      </w:r>
      <w:r w:rsidRPr="00405997">
        <w:t>compensation, dispatch and battery-reserve rules, data-sharing practices, fees, duration, customer control, and opt-out rights</w:t>
      </w:r>
      <w:r w:rsidR="00860E03">
        <w:t>)</w:t>
      </w:r>
      <w:r w:rsidRPr="00405997">
        <w:t>.</w:t>
      </w:r>
    </w:p>
    <w:p w14:paraId="3920F5B0" w14:textId="40B40D50" w:rsidR="00405997" w:rsidRPr="00405997" w:rsidRDefault="00405997" w:rsidP="00D459B9">
      <w:pPr>
        <w:pStyle w:val="ListParagraph"/>
        <w:numPr>
          <w:ilvl w:val="0"/>
          <w:numId w:val="50"/>
        </w:numPr>
        <w:spacing w:before="120"/>
      </w:pPr>
      <w:r w:rsidRPr="00405997">
        <w:t>Strengthen sales-practice and vendor-accountability protections</w:t>
      </w:r>
      <w:r w:rsidR="00860E03">
        <w:t xml:space="preserve"> (e.g., </w:t>
      </w:r>
      <w:r w:rsidRPr="00405997">
        <w:t>licensing standards for solar sales representatives, accessible complaint-resolution channels</w:t>
      </w:r>
      <w:r w:rsidR="00860E03">
        <w:t>)</w:t>
      </w:r>
      <w:r w:rsidRPr="00405997">
        <w:t>.</w:t>
      </w:r>
    </w:p>
    <w:p w14:paraId="3D819155" w14:textId="27B3791C" w:rsidR="00405997" w:rsidRDefault="00405997" w:rsidP="00D459B9">
      <w:pPr>
        <w:pStyle w:val="ListParagraph"/>
        <w:numPr>
          <w:ilvl w:val="0"/>
          <w:numId w:val="50"/>
        </w:numPr>
        <w:spacing w:before="120"/>
      </w:pPr>
      <w:r w:rsidRPr="00405997">
        <w:t xml:space="preserve">Require state-supported programs to include accessible outreach and enrollment pathways for renters, low-income households, multifamily residents, rural communities, and customers with limited English proficiency. </w:t>
      </w:r>
    </w:p>
    <w:p w14:paraId="07E6580B" w14:textId="7745D808" w:rsidR="00511AC2" w:rsidRDefault="00511AC2" w:rsidP="00D459B9">
      <w:pPr>
        <w:pStyle w:val="ListParagraph"/>
        <w:spacing w:before="120" w:after="120"/>
      </w:pPr>
      <w:r w:rsidRPr="003C4071">
        <w:rPr>
          <w:b/>
          <w:bCs/>
        </w:rPr>
        <w:t>Recommendation:</w:t>
      </w:r>
      <w:r w:rsidRPr="00CE2521">
        <w:t xml:space="preserve"> </w:t>
      </w:r>
      <w:r w:rsidR="00405997">
        <w:t xml:space="preserve">Develop </w:t>
      </w:r>
      <w:r w:rsidR="00AB06A1" w:rsidRPr="00CE2521">
        <w:t xml:space="preserve">a coordinated, customer-centered DER and VPP education, outreach, and protection </w:t>
      </w:r>
      <w:r w:rsidR="00AB06A1">
        <w:t>framework. State</w:t>
      </w:r>
      <w:r w:rsidR="00027A3C">
        <w:t xml:space="preserve">-led </w:t>
      </w:r>
      <w:r w:rsidR="00AB06A1">
        <w:t xml:space="preserve">efforts could be </w:t>
      </w:r>
      <w:r w:rsidR="00027A3C">
        <w:t xml:space="preserve">driven </w:t>
      </w:r>
      <w:r w:rsidR="00AB06A1" w:rsidRPr="00CE2521">
        <w:t>by Virginia Energy</w:t>
      </w:r>
      <w:r w:rsidR="00AB06A1">
        <w:t>—building on existing VE Connect and customer outreach efforts—</w:t>
      </w:r>
      <w:r w:rsidR="00AB06A1" w:rsidRPr="00CE2521">
        <w:t>in coordination with the SCC, utilities, consumer advocates, local governments, community partners, and DER providers. A coordinated statewide approach can improve consistency while allowing outreach to be tailored to communities and customer needs</w:t>
      </w:r>
      <w:r w:rsidR="00C0117D">
        <w:t xml:space="preserve">. </w:t>
      </w:r>
      <w:r w:rsidR="00FB0164" w:rsidRPr="00CE2521">
        <w:rPr>
          <w:b/>
        </w:rPr>
        <w:t xml:space="preserve">Actions could include: </w:t>
      </w:r>
    </w:p>
    <w:p w14:paraId="2ACC50CD" w14:textId="4EC3D755" w:rsidR="00511AC2" w:rsidRDefault="00511AC2" w:rsidP="00D459B9">
      <w:pPr>
        <w:pStyle w:val="ListParagraph"/>
        <w:numPr>
          <w:ilvl w:val="0"/>
          <w:numId w:val="143"/>
        </w:numPr>
        <w:spacing w:before="120" w:after="120"/>
      </w:pPr>
      <w:r w:rsidRPr="0049000C">
        <w:t>Direct Virginia Energy to</w:t>
      </w:r>
      <w:r>
        <w:t xml:space="preserve"> develop </w:t>
      </w:r>
      <w:r w:rsidR="007B7205">
        <w:t xml:space="preserve">clear and accessible DER and VPP </w:t>
      </w:r>
      <w:r>
        <w:t xml:space="preserve">communications </w:t>
      </w:r>
      <w:r w:rsidRPr="00ED2D5B">
        <w:t>tools</w:t>
      </w:r>
      <w:r w:rsidR="00674AB9">
        <w:t>, building on the existing VE Connect program</w:t>
      </w:r>
      <w:r>
        <w:t xml:space="preserve">; </w:t>
      </w:r>
      <w:r w:rsidR="00674AB9">
        <w:t xml:space="preserve">this could include </w:t>
      </w:r>
      <w:r>
        <w:t>c</w:t>
      </w:r>
      <w:r w:rsidRPr="000971CE">
        <w:t>onsolidat</w:t>
      </w:r>
      <w:r w:rsidR="00674AB9">
        <w:t xml:space="preserve">ing </w:t>
      </w:r>
      <w:r w:rsidRPr="000971CE">
        <w:t>DER</w:t>
      </w:r>
      <w:r>
        <w:t xml:space="preserve"> and </w:t>
      </w:r>
      <w:r w:rsidRPr="000971CE">
        <w:t xml:space="preserve">VPP messaging under </w:t>
      </w:r>
      <w:r>
        <w:t>a single,</w:t>
      </w:r>
      <w:r w:rsidRPr="000971CE">
        <w:t xml:space="preserve"> Virginia-recognizable brand across Dominion, Appalachian Power, and co-ops</w:t>
      </w:r>
      <w:r>
        <w:t xml:space="preserve">. </w:t>
      </w:r>
    </w:p>
    <w:p w14:paraId="7B4481CA" w14:textId="27E2C25B" w:rsidR="00511AC2" w:rsidRDefault="00511AC2" w:rsidP="00D459B9">
      <w:pPr>
        <w:pStyle w:val="ListParagraph"/>
        <w:numPr>
          <w:ilvl w:val="0"/>
          <w:numId w:val="143"/>
        </w:numPr>
        <w:spacing w:before="120" w:after="120"/>
      </w:pPr>
      <w:r w:rsidRPr="0049000C">
        <w:t xml:space="preserve">Direct Virginia Energy </w:t>
      </w:r>
      <w:r>
        <w:t>to provide materials to local governments and public entities to support DER adoption, including</w:t>
      </w:r>
      <w:r w:rsidRPr="00ED2D5B">
        <w:t xml:space="preserve"> model solar PPA </w:t>
      </w:r>
      <w:r>
        <w:t>templates</w:t>
      </w:r>
      <w:r w:rsidRPr="00ED2D5B">
        <w:t xml:space="preserve"> and FAQs</w:t>
      </w:r>
      <w:r>
        <w:t xml:space="preserve"> and </w:t>
      </w:r>
      <w:r w:rsidRPr="00ED2D5B">
        <w:t>DER PPA/procurement training sessions</w:t>
      </w:r>
      <w:r>
        <w:t>; c</w:t>
      </w:r>
      <w:r w:rsidRPr="00ED2D5B">
        <w:t>reate a recognition system to incentivize Virginia localities to adopt DER-friendly ordinances</w:t>
      </w:r>
      <w:r>
        <w:t xml:space="preserve">. </w:t>
      </w:r>
    </w:p>
    <w:p w14:paraId="00DD8925" w14:textId="666C97EE" w:rsidR="00511AC2" w:rsidRDefault="00511AC2" w:rsidP="00D459B9">
      <w:pPr>
        <w:pStyle w:val="ListParagraph"/>
        <w:numPr>
          <w:ilvl w:val="0"/>
          <w:numId w:val="143"/>
        </w:numPr>
        <w:spacing w:before="120" w:after="120"/>
      </w:pPr>
      <w:r>
        <w:t>Direct Virginia Energy</w:t>
      </w:r>
      <w:r w:rsidR="007B7205">
        <w:t>—in collaboration with other stakeholders--</w:t>
      </w:r>
      <w:r>
        <w:t>to s</w:t>
      </w:r>
      <w:r w:rsidRPr="00D63F8E">
        <w:t>upport robust consumer education campaigns while implementing robust consumer protection guidelines and vendor registration frameworks.</w:t>
      </w:r>
      <w:r w:rsidR="00D43782">
        <w:t xml:space="preserve"> This could include identifying and working with </w:t>
      </w:r>
      <w:r w:rsidRPr="000971CE">
        <w:t>trusted local</w:t>
      </w:r>
      <w:r>
        <w:t xml:space="preserve"> </w:t>
      </w:r>
      <w:r w:rsidRPr="000971CE">
        <w:t>community organizations</w:t>
      </w:r>
      <w:r w:rsidR="00D43782">
        <w:t>.</w:t>
      </w:r>
    </w:p>
    <w:p w14:paraId="0566DA61" w14:textId="77777777" w:rsidR="005D04BE" w:rsidRPr="0041421A" w:rsidRDefault="005D04BE" w:rsidP="001465D0"/>
    <w:p w14:paraId="0960B544" w14:textId="4F59813C" w:rsidR="005D6CE7" w:rsidRPr="0041421A" w:rsidRDefault="00995D1A" w:rsidP="00160BBE">
      <w:pPr>
        <w:pStyle w:val="Heading2"/>
        <w:spacing w:after="160"/>
        <w:rPr>
          <w:rFonts w:eastAsia="Georgia"/>
          <w:b/>
          <w:color w:val="1F3A5F"/>
        </w:rPr>
      </w:pPr>
      <w:bookmarkStart w:id="1401" w:name="_Toc563510278"/>
      <w:bookmarkStart w:id="1402" w:name="_Toc1741322523"/>
      <w:bookmarkStart w:id="1403" w:name="_Toc708971768"/>
      <w:bookmarkStart w:id="1404" w:name="_Toc557146680"/>
      <w:bookmarkStart w:id="1405" w:name="_Toc1136510874"/>
      <w:bookmarkStart w:id="1406" w:name="_Toc1066852807"/>
      <w:bookmarkStart w:id="1407" w:name="_Toc928111465"/>
      <w:bookmarkStart w:id="1408" w:name="_Toc78939433"/>
      <w:bookmarkStart w:id="1409" w:name="_Toc1300798446"/>
      <w:bookmarkStart w:id="1410" w:name="_Toc1927421568"/>
      <w:bookmarkStart w:id="1411" w:name="_Toc411625685"/>
      <w:bookmarkStart w:id="1412" w:name="_Toc1724959141"/>
      <w:bookmarkStart w:id="1413" w:name="_Toc687431542"/>
      <w:bookmarkStart w:id="1414" w:name="_Toc1094485302"/>
      <w:bookmarkStart w:id="1415" w:name="_Toc729301017"/>
      <w:bookmarkStart w:id="1416" w:name="_Toc593950087"/>
      <w:bookmarkStart w:id="1417" w:name="_Toc613177374"/>
      <w:bookmarkStart w:id="1418" w:name="_Toc822596927"/>
      <w:bookmarkStart w:id="1419" w:name="_Toc203369734"/>
      <w:bookmarkStart w:id="1420" w:name="_Toc590891000"/>
      <w:bookmarkStart w:id="1421" w:name="_Toc30460019"/>
      <w:bookmarkStart w:id="1422" w:name="_Toc1397708652"/>
      <w:bookmarkStart w:id="1423" w:name="_Toc500300452"/>
      <w:bookmarkStart w:id="1424" w:name="_Toc1977847459"/>
      <w:bookmarkStart w:id="1425" w:name="_Toc1071308426"/>
      <w:bookmarkStart w:id="1426" w:name="_Toc1692475152"/>
      <w:bookmarkStart w:id="1427" w:name="_Toc1610434562"/>
      <w:bookmarkStart w:id="1428" w:name="_Toc149610142"/>
      <w:bookmarkStart w:id="1429" w:name="_Toc1327009298"/>
      <w:bookmarkStart w:id="1430" w:name="_Toc77396025"/>
      <w:bookmarkStart w:id="1431" w:name="_Toc945587854"/>
      <w:bookmarkStart w:id="1432" w:name="_Toc140040865"/>
      <w:bookmarkStart w:id="1433" w:name="_Toc1245929435"/>
      <w:bookmarkStart w:id="1434" w:name="_Toc478114305"/>
      <w:bookmarkStart w:id="1435" w:name="_Toc63666204"/>
      <w:bookmarkStart w:id="1436" w:name="_Toc1435837263"/>
      <w:bookmarkStart w:id="1437" w:name="_Toc1507736285"/>
      <w:bookmarkStart w:id="1438" w:name="_Toc1439781028"/>
      <w:bookmarkStart w:id="1439" w:name="_Toc1588071395"/>
      <w:bookmarkStart w:id="1440" w:name="_Toc83893967"/>
      <w:bookmarkStart w:id="1441" w:name="_Toc268410226"/>
      <w:bookmarkStart w:id="1442" w:name="_Toc1009591212"/>
      <w:bookmarkStart w:id="1443" w:name="_Toc1852173141"/>
      <w:bookmarkStart w:id="1444" w:name="_Toc869305890"/>
      <w:bookmarkStart w:id="1445" w:name="_Toc1554811229"/>
      <w:bookmarkStart w:id="1446" w:name="_Toc1013282093"/>
      <w:bookmarkStart w:id="1447" w:name="_Toc368575391"/>
      <w:bookmarkStart w:id="1448" w:name="_Toc581939178"/>
      <w:bookmarkStart w:id="1449" w:name="_Toc237021708"/>
      <w:bookmarkStart w:id="1450" w:name="_Toc239862918"/>
      <w:r w:rsidRPr="0041421A">
        <w:rPr>
          <w:rFonts w:eastAsia="Georgia"/>
          <w:b/>
          <w:bCs/>
          <w:color w:val="1F3A5F"/>
        </w:rPr>
        <w:t xml:space="preserve">5.2 </w:t>
      </w:r>
      <w:r w:rsidR="009836DA">
        <w:rPr>
          <w:rFonts w:eastAsia="Georgia"/>
          <w:b/>
          <w:bCs/>
          <w:color w:val="1F3A5F"/>
        </w:rPr>
        <w:t>VPP</w:t>
      </w:r>
      <w:r w:rsidR="00082E9B">
        <w:rPr>
          <w:rFonts w:eastAsia="Georgia"/>
          <w:b/>
          <w:bCs/>
          <w:color w:val="1F3A5F"/>
        </w:rPr>
        <w:t>-</w:t>
      </w:r>
      <w:r w:rsidR="00CD44CB">
        <w:rPr>
          <w:rFonts w:eastAsia="Georgia"/>
          <w:b/>
          <w:bCs/>
          <w:color w:val="1F3A5F"/>
        </w:rPr>
        <w:t xml:space="preserve">Enabling </w:t>
      </w:r>
      <w:r w:rsidR="00082E9B">
        <w:rPr>
          <w:rFonts w:eastAsia="Georgia"/>
          <w:b/>
          <w:bCs/>
          <w:color w:val="1F3A5F"/>
        </w:rPr>
        <w:t xml:space="preserve">Policies Roadmap: VPP </w:t>
      </w:r>
      <w:r w:rsidR="009836DA">
        <w:rPr>
          <w:rFonts w:eastAsia="Georgia"/>
          <w:b/>
          <w:bCs/>
          <w:color w:val="1F3A5F"/>
        </w:rPr>
        <w:t xml:space="preserve">Policy </w:t>
      </w:r>
      <w:r w:rsidR="00082E9B">
        <w:rPr>
          <w:rFonts w:eastAsia="Georgia"/>
          <w:b/>
          <w:bCs/>
          <w:color w:val="1F3A5F"/>
        </w:rPr>
        <w:t xml:space="preserve">Topics </w:t>
      </w:r>
      <w:r w:rsidR="001F4F62">
        <w:rPr>
          <w:rFonts w:eastAsia="Georgia"/>
          <w:b/>
          <w:bCs/>
          <w:color w:val="1F3A5F"/>
        </w:rPr>
        <w:t xml:space="preserve">Prioritization </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14:paraId="05A79FCD" w14:textId="5EA9F775" w:rsidR="00E93BDF" w:rsidRDefault="009836DA" w:rsidP="00E93BDF">
      <w:pPr>
        <w:spacing w:before="120" w:after="120"/>
      </w:pPr>
      <w:bookmarkStart w:id="1451" w:name="_Toc235892106"/>
      <w:bookmarkStart w:id="1452" w:name="_Toc1023736923"/>
      <w:bookmarkStart w:id="1453" w:name="_Toc2272452"/>
      <w:bookmarkStart w:id="1454" w:name="_Toc1916003974"/>
      <w:bookmarkStart w:id="1455" w:name="_Toc1278165876"/>
      <w:bookmarkStart w:id="1456" w:name="_Toc1025095297"/>
      <w:bookmarkStart w:id="1457" w:name="_Toc751738452"/>
      <w:bookmarkStart w:id="1458" w:name="_Toc177312916"/>
      <w:bookmarkStart w:id="1459" w:name="_Toc506690465"/>
      <w:bookmarkStart w:id="1460" w:name="_Toc2049233224"/>
      <w:bookmarkStart w:id="1461" w:name="_Toc971061515"/>
      <w:bookmarkStart w:id="1462" w:name="_Toc1715969837"/>
      <w:bookmarkStart w:id="1463" w:name="_Toc405432093"/>
      <w:bookmarkStart w:id="1464" w:name="_Toc54508817"/>
      <w:bookmarkStart w:id="1465" w:name="_Toc961778992"/>
      <w:bookmarkStart w:id="1466" w:name="_Toc884418369"/>
      <w:bookmarkStart w:id="1467" w:name="_Toc901814915"/>
      <w:bookmarkStart w:id="1468" w:name="_Toc628183745"/>
      <w:bookmarkStart w:id="1469" w:name="_Toc904369778"/>
      <w:bookmarkStart w:id="1470" w:name="_Toc1425503730"/>
      <w:bookmarkStart w:id="1471" w:name="_Toc331007782"/>
      <w:bookmarkStart w:id="1472" w:name="_Toc1598257168"/>
      <w:bookmarkStart w:id="1473" w:name="_Toc1824485041"/>
      <w:bookmarkStart w:id="1474" w:name="_Toc1290345228"/>
      <w:bookmarkStart w:id="1475" w:name="_Toc138318214"/>
      <w:bookmarkStart w:id="1476" w:name="_Toc1393741021"/>
      <w:bookmarkStart w:id="1477" w:name="_Toc1792879931"/>
      <w:bookmarkStart w:id="1478" w:name="_Toc799553162"/>
      <w:bookmarkStart w:id="1479" w:name="_Toc716512629"/>
      <w:bookmarkStart w:id="1480" w:name="_Toc1577454108"/>
      <w:bookmarkStart w:id="1481" w:name="_Toc831322405"/>
      <w:bookmarkStart w:id="1482" w:name="_Toc982733506"/>
      <w:bookmarkStart w:id="1483" w:name="_Toc365108778"/>
      <w:bookmarkStart w:id="1484" w:name="_Toc246769580"/>
      <w:bookmarkStart w:id="1485" w:name="_Toc631695479"/>
      <w:bookmarkStart w:id="1486" w:name="_Toc942522589"/>
      <w:bookmarkStart w:id="1487" w:name="_Toc1033879134"/>
      <w:bookmarkStart w:id="1488" w:name="_Toc2087054062"/>
      <w:bookmarkStart w:id="1489" w:name="_Toc803157385"/>
      <w:bookmarkStart w:id="1490" w:name="_Toc334487536"/>
      <w:bookmarkStart w:id="1491" w:name="_Toc862464365"/>
      <w:bookmarkStart w:id="1492" w:name="_Toc1099871706"/>
      <w:bookmarkStart w:id="1493" w:name="_Toc578336173"/>
      <w:bookmarkStart w:id="1494" w:name="_Toc1239226360"/>
      <w:bookmarkStart w:id="1495" w:name="_Toc1291291682"/>
      <w:bookmarkStart w:id="1496" w:name="_Toc1334008300"/>
      <w:bookmarkStart w:id="1497" w:name="_Toc1660023054"/>
      <w:bookmarkStart w:id="1498" w:name="_Toc1947829092"/>
      <w:bookmarkStart w:id="1499" w:name="_Toc1774678841"/>
      <w:r w:rsidRPr="00356194">
        <w:t xml:space="preserve">Achieving the Task Force’s long-term vision for distributed energy resources and virtual power plants will require more than expanding DER deployment. It will require a durable regulatory and market framework through which dispatchable DERs can be aggregated, coordinated, and compensated for providing measurable grid services. As discussed in Section </w:t>
      </w:r>
      <w:r w:rsidR="00E93BDF">
        <w:t>3</w:t>
      </w:r>
      <w:r w:rsidRPr="00356194">
        <w:t>, the Task Force’s vision is a Virginia energy system in which dispatchable DERs are treated as integral, scalable grid resources and can be fairly compensated when they provide cost-effective services that support affordable, reliable, clean, safe, secure, and resilient power.</w:t>
      </w:r>
      <w:r w:rsidR="005F3CA9">
        <w:t xml:space="preserve"> </w:t>
      </w:r>
    </w:p>
    <w:p w14:paraId="5DBAA19C" w14:textId="21F66C5B" w:rsidR="00E93BDF" w:rsidRPr="00356194" w:rsidRDefault="00E93BDF" w:rsidP="00E93BDF">
      <w:pPr>
        <w:spacing w:before="120" w:after="120"/>
      </w:pPr>
      <w:r>
        <w:t xml:space="preserve">This section discusses the process and outputs to identify and prioritize a preliminary set of enabling policies required to support permanent, scalable VPP deployments in the Commonwealth over time. </w:t>
      </w:r>
    </w:p>
    <w:p w14:paraId="1B14D098" w14:textId="5BD6C226" w:rsidR="005F3CA9" w:rsidRDefault="005F3CA9" w:rsidP="00AE21E7">
      <w:pPr>
        <w:spacing w:before="120" w:after="120"/>
      </w:pPr>
    </w:p>
    <w:p w14:paraId="1FB1E2D4" w14:textId="65AA4E67" w:rsidR="009836DA" w:rsidRPr="00356194" w:rsidRDefault="009836DA" w:rsidP="00AE21E7">
      <w:pPr>
        <w:spacing w:before="120" w:after="120"/>
      </w:pPr>
      <w:r w:rsidRPr="00356194">
        <w:t xml:space="preserve">To develop </w:t>
      </w:r>
      <w:r>
        <w:t>a policy</w:t>
      </w:r>
      <w:r w:rsidRPr="00356194">
        <w:t xml:space="preserve"> roadmap for achieving this long-term vision, the Task Force leverage</w:t>
      </w:r>
      <w:r>
        <w:t>d</w:t>
      </w:r>
      <w:r w:rsidRPr="00356194">
        <w:t xml:space="preserve"> a phased market-</w:t>
      </w:r>
      <w:r>
        <w:t xml:space="preserve">development </w:t>
      </w:r>
      <w:r w:rsidRPr="00356194">
        <w:t>approach informed by the Energy Policy Design Institute’s (“EPDI”) VPP Convergence Project. The</w:t>
      </w:r>
      <w:r>
        <w:t xml:space="preserve"> Project’s</w:t>
      </w:r>
      <w:r w:rsidRPr="00356194">
        <w:t xml:space="preserve"> VPP Convergence framework begins with the state’s energy-system objectives, identifies the grid services needed to support those objectives, and then considers the specific VPP configurations that can provide those services. Under this approach, </w:t>
      </w:r>
      <w:r>
        <w:t xml:space="preserve">the intent of VPP policy development is not simply to deploy more, bigger DER aggregations, but rather </w:t>
      </w:r>
      <w:r w:rsidRPr="00356194">
        <w:t xml:space="preserve">is a framework for enabling DERs and their aggregations to provide </w:t>
      </w:r>
      <w:r>
        <w:t xml:space="preserve">cost-effective </w:t>
      </w:r>
      <w:r w:rsidRPr="00356194">
        <w:t>grid services—such as capacity, peak-demand reduction, energy, local distribution support, and, over time, ancillary services—where those services advance Virginia’s broader energy objectives.</w:t>
      </w:r>
    </w:p>
    <w:p w14:paraId="6C4D72E5" w14:textId="5E2EB11A" w:rsidR="009836DA" w:rsidRPr="00356194" w:rsidRDefault="009836DA" w:rsidP="00AE21E7">
      <w:pPr>
        <w:spacing w:before="120" w:after="120"/>
      </w:pPr>
      <w:r w:rsidRPr="00356194">
        <w:t xml:space="preserve">The </w:t>
      </w:r>
      <w:r>
        <w:t xml:space="preserve">state’s VPP policy </w:t>
      </w:r>
      <w:r w:rsidRPr="00356194">
        <w:t xml:space="preserve">roadmap is a </w:t>
      </w:r>
      <w:r>
        <w:t xml:space="preserve">thus a </w:t>
      </w:r>
      <w:r w:rsidRPr="00356194">
        <w:t xml:space="preserve">sequenced journey from Virginia’s current collection of DER programs and policies toward a more complete market framework in which multiple </w:t>
      </w:r>
      <w:r>
        <w:t>types of VPPs</w:t>
      </w:r>
      <w:r w:rsidRPr="00356194">
        <w:t xml:space="preserve"> can operate. It does not assume that every technology, </w:t>
      </w:r>
      <w:r>
        <w:t xml:space="preserve">VPP </w:t>
      </w:r>
      <w:r w:rsidRPr="00356194">
        <w:t>business model, or grid service must be enabled immediately. Instead, it identifies the most consequential near-term VPP applications, focuses initial policy work on the rules needed to make those applications viable, and preserves the ability to expand the framework as technologies, customer needs, utility planning practices, and PJM market opportunities evolve.</w:t>
      </w:r>
    </w:p>
    <w:p w14:paraId="43429AEC" w14:textId="7CFCD72C" w:rsidR="009836DA" w:rsidRDefault="009836DA" w:rsidP="00AE21E7">
      <w:pPr>
        <w:spacing w:before="120" w:after="120"/>
      </w:pPr>
      <w:r w:rsidRPr="00356194">
        <w:t>This approach recognizes that permanent, scalable VPP programs require a coordinated set of policies, procedures, and systems</w:t>
      </w:r>
      <w:r>
        <w:t xml:space="preserve"> – such as clear</w:t>
      </w:r>
      <w:r w:rsidRPr="00356194">
        <w:t xml:space="preserve"> procedures for DER registration, eligibility review, and enrollment</w:t>
      </w:r>
      <w:r>
        <w:t>; c</w:t>
      </w:r>
      <w:r w:rsidRPr="00356194">
        <w:t>ustomer protections</w:t>
      </w:r>
      <w:r>
        <w:t xml:space="preserve">; </w:t>
      </w:r>
      <w:r w:rsidRPr="00356194">
        <w:t>dispute-resolution processes</w:t>
      </w:r>
      <w:r>
        <w:t>; secure</w:t>
      </w:r>
      <w:r w:rsidRPr="00356194">
        <w:t xml:space="preserve"> and nondiscriminatory access to customer and grid data</w:t>
      </w:r>
      <w:r>
        <w:t xml:space="preserve">, among other.  </w:t>
      </w:r>
      <w:r w:rsidRPr="00356194">
        <w:t xml:space="preserve">See Appendix XX for a full list of the policy topics that have been identified by the VPP Convergence project to enable VPPs. </w:t>
      </w:r>
    </w:p>
    <w:p w14:paraId="03A2CB87" w14:textId="6A4F304F" w:rsidR="009836DA" w:rsidRDefault="009836DA" w:rsidP="00AE21E7">
      <w:pPr>
        <w:spacing w:before="120" w:after="120"/>
      </w:pPr>
      <w:r>
        <w:t>There are a wide variety of “VPP Types”, and the</w:t>
      </w:r>
      <w:r w:rsidRPr="00560EEC">
        <w:t xml:space="preserve"> particular policy topics that matter most are not identical for every </w:t>
      </w:r>
      <w:r>
        <w:t xml:space="preserve">type of </w:t>
      </w:r>
      <w:r w:rsidRPr="00560EEC">
        <w:t xml:space="preserve">VPP. A utility-administered peak-shaving program, for example, may require enrollment, dispatch, metering, and utility operations procedures but may not initially require the state to establish rules for participation in PJM ancillary-service markets. By contrast, a VPP seeking to participate directly in PJM capacity markets under FERC Order No. 2222 requires coordination among the DER aggregator, electric distribution company (“EDC”), and PJM, including state-level procedures that complement PJM’s wholesale-market rules. The value of identifying priority VPP </w:t>
      </w:r>
      <w:r>
        <w:t>T</w:t>
      </w:r>
      <w:r w:rsidRPr="00560EEC">
        <w:t xml:space="preserve">ypes is therefore that it enables Virginia to concentrate early regulatory work on the policy topics necessary to launch the most relevant near-term applications, while deferring less urgent issues until they become material to future VPP </w:t>
      </w:r>
      <w:r>
        <w:t>Types</w:t>
      </w:r>
      <w:r w:rsidRPr="00560EEC">
        <w:t>.</w:t>
      </w:r>
    </w:p>
    <w:p w14:paraId="5A0D0E20" w14:textId="3FD44C96" w:rsidR="009836DA" w:rsidRDefault="009836DA" w:rsidP="00AE21E7">
      <w:pPr>
        <w:spacing w:before="120" w:after="120"/>
      </w:pPr>
      <w:r>
        <w:t xml:space="preserve">In order to identify the most important policy topics for Virginia to focus on in the near-term to further support development towards permanent VPP programs, building on and informed by ongoing and forthcoming state VPP pilots, EPDI led the Task Force through a prioritization exercise to identify what types of VPPs could best help meet Virginia’s near term needs and work in Virginia’s grid market structure. </w:t>
      </w:r>
    </w:p>
    <w:p w14:paraId="5867D83B" w14:textId="15BF9102" w:rsidR="009836DA" w:rsidRDefault="009836DA" w:rsidP="00AE21E7">
      <w:pPr>
        <w:spacing w:before="120" w:after="120"/>
      </w:pPr>
      <w:r>
        <w:rPr>
          <w:b/>
          <w:bCs/>
        </w:rPr>
        <w:t>Step 1: P</w:t>
      </w:r>
      <w:r w:rsidRPr="00CC140D">
        <w:rPr>
          <w:b/>
          <w:bCs/>
        </w:rPr>
        <w:t xml:space="preserve">riority VPP Types were identified. </w:t>
      </w:r>
      <w:r>
        <w:t xml:space="preserve">As defined by the VPP Convergence project, a “VPP Type” is the combination of a) </w:t>
      </w:r>
      <w:r w:rsidRPr="008D1450">
        <w:t>the grid service being provided;</w:t>
      </w:r>
      <w:r>
        <w:t xml:space="preserve"> b) </w:t>
      </w:r>
      <w:r w:rsidRPr="008D1450">
        <w:t>the DER technologies participating in the aggregation; and</w:t>
      </w:r>
      <w:r>
        <w:t xml:space="preserve"> c) </w:t>
      </w:r>
      <w:r w:rsidRPr="008D1450">
        <w:t>the business model or transaction structure through which the service is procured and compensated.</w:t>
      </w:r>
      <w:r>
        <w:t xml:space="preserve">  Different VPP types may </w:t>
      </w:r>
      <w:r w:rsidRPr="008D1450">
        <w:t>require different rules, operational interfaces, and compensation structures</w:t>
      </w:r>
      <w:r>
        <w:t xml:space="preserve">.  </w:t>
      </w:r>
      <w:r w:rsidRPr="008D1450">
        <w:t xml:space="preserve">Through Task Force discussion and a member homework/prioritization exercise, the Task Force identified initial VPP types that best reflected Virginia’s near-term opportunities, available technologies, grid needs, statutory direction, and implementation feasibility. </w:t>
      </w:r>
    </w:p>
    <w:p w14:paraId="65CC3946" w14:textId="1A0ADABC" w:rsidR="009836DA" w:rsidRDefault="009836DA" w:rsidP="00AE21E7">
      <w:pPr>
        <w:spacing w:before="120" w:after="120"/>
      </w:pPr>
      <w:r w:rsidRPr="008D1450">
        <w:t>The purpose of this exercise was not to declare other VPP types unimportant; it was to identify where focused near-term action could produce the greatest progress toward the Commonwealth’s longer-term market-integration vision.</w:t>
      </w:r>
    </w:p>
    <w:p w14:paraId="258D31DC" w14:textId="3CB50C80" w:rsidR="009836DA" w:rsidRDefault="009836DA" w:rsidP="00AE21E7">
      <w:pPr>
        <w:spacing w:before="120" w:after="120"/>
      </w:pPr>
      <w:r w:rsidRPr="0016318E">
        <w:t>Task Force members initially identified PJM capacity participation, distribution-level peak shaving, and data-center or large-load demand flexibility as the highest-priority grid-service applications. Behind-the-meter storage emerged as the highest-priority technology category, with front-of-meter distributed storage, managed EV charging, and automated load controls also identified as important near-term resources. In considering business models, the Task Force recognized that utility programs may be among the most readily deployable arrangements in the near term, while direct wholesale participation and third-party aggregation remain important pathways that require their own enabling rules.</w:t>
      </w:r>
    </w:p>
    <w:p w14:paraId="34BE8416" w14:textId="69689484" w:rsidR="009836DA" w:rsidRDefault="009836DA" w:rsidP="00AE21E7">
      <w:pPr>
        <w:spacing w:before="120" w:after="120"/>
      </w:pPr>
      <w:r>
        <w:t>As an outcome of this work, three VPP types were identified as initial implementation areas based on the greatest needs in Virginia to reduce peak loads on grid infrastructure, require large load / data centers to utilize DERs given their significant energy needs and stress on current infrastructure, and further open opportunities for PJM capacity market participation to align with FERC Order 2222:</w:t>
      </w:r>
    </w:p>
    <w:p w14:paraId="0BDE1E8E" w14:textId="6C167CA5" w:rsidR="009836DA" w:rsidRPr="006A683C" w:rsidRDefault="009836DA" w:rsidP="00AE21E7">
      <w:pPr>
        <w:pStyle w:val="ListParagraph"/>
        <w:numPr>
          <w:ilvl w:val="0"/>
          <w:numId w:val="14"/>
        </w:numPr>
        <w:spacing w:before="120" w:after="120"/>
        <w:contextualSpacing/>
      </w:pPr>
      <w:r>
        <w:rPr>
          <w:b/>
          <w:bCs/>
        </w:rPr>
        <w:t xml:space="preserve">Distribution Peak Shaving utility program </w:t>
      </w:r>
    </w:p>
    <w:p w14:paraId="6346E9E7" w14:textId="77777777" w:rsidR="009836DA" w:rsidRDefault="009836DA" w:rsidP="00E559EC">
      <w:pPr>
        <w:pStyle w:val="ListParagraph"/>
        <w:spacing w:before="120" w:after="120"/>
        <w:ind w:left="720"/>
      </w:pPr>
      <w:r w:rsidRPr="006A683C">
        <w:t xml:space="preserve">The first priority VPP </w:t>
      </w:r>
      <w:r>
        <w:t>T</w:t>
      </w:r>
      <w:r w:rsidRPr="006A683C">
        <w:t xml:space="preserve">ype is a utility-administered distribution peak-shaving program. In its basic form, the utility compensates participating DER customers for reducing demand or supplying stored energy during identified system peak periods. Eligible resources could include behind-the-meter battery storage, managed EV charging, smart thermostats and other automated load controls, and, where appropriate, front-of-meter distributed storage. </w:t>
      </w:r>
    </w:p>
    <w:p w14:paraId="2C08E189" w14:textId="79B5108D" w:rsidR="009836DA" w:rsidRDefault="009836DA" w:rsidP="00E559EC">
      <w:pPr>
        <w:pStyle w:val="ListParagraph"/>
        <w:spacing w:before="120" w:after="120"/>
        <w:ind w:left="720"/>
      </w:pPr>
      <w:r w:rsidRPr="006A683C">
        <w:t>The objective is to reduce peak demand and improve use of existing grid infrastructure, potentially avoiding or deferring higher-cost generation, transmission, or distribution investments.</w:t>
      </w:r>
      <w:r>
        <w:t xml:space="preserve"> </w:t>
      </w:r>
      <w:r w:rsidRPr="006A683C">
        <w:t xml:space="preserve">This priority type is intentionally framed broadly enough to build on existing utility-program experience while allowing future refinement. </w:t>
      </w:r>
    </w:p>
    <w:p w14:paraId="69E2C24D" w14:textId="42F9B122" w:rsidR="009836DA" w:rsidRDefault="009836DA" w:rsidP="00E559EC">
      <w:pPr>
        <w:pStyle w:val="ListParagraph"/>
        <w:spacing w:before="120" w:after="120"/>
        <w:ind w:left="720"/>
      </w:pPr>
      <w:r>
        <w:t xml:space="preserve">Note that within the Dominion VPP Pilot, several proposed VPP programs are examples of this VPP Type, including: Residential Battery Storage Pilot; Residential EV Managed Charging Pilot; and </w:t>
      </w:r>
      <w:r w:rsidRPr="00CE2521">
        <w:t>Non-Residential HVAC for Small &amp; Medium Business Customers</w:t>
      </w:r>
    </w:p>
    <w:p w14:paraId="3B44E7DA" w14:textId="77777777" w:rsidR="009836DA" w:rsidRPr="006A683C" w:rsidRDefault="009836DA" w:rsidP="00E559EC">
      <w:pPr>
        <w:pStyle w:val="ListParagraph"/>
        <w:spacing w:before="120" w:after="120"/>
        <w:ind w:left="720"/>
      </w:pPr>
      <w:r w:rsidRPr="006A683C">
        <w:t>Potential variations include:</w:t>
      </w:r>
    </w:p>
    <w:p w14:paraId="5D7F74E7" w14:textId="77777777" w:rsidR="009836DA" w:rsidRPr="006A683C" w:rsidRDefault="009836DA" w:rsidP="00E559EC">
      <w:pPr>
        <w:pStyle w:val="ListParagraph"/>
        <w:numPr>
          <w:ilvl w:val="1"/>
          <w:numId w:val="14"/>
        </w:numPr>
        <w:spacing w:before="120" w:after="120"/>
      </w:pPr>
      <w:r w:rsidRPr="006A683C">
        <w:t>A program focused on local distribution peaks or identified constraints rather than systemwide peak periods.</w:t>
      </w:r>
      <w:r>
        <w:t xml:space="preserve"> (e.g. Dominion’s Residential EV Managed Charging Pilot)</w:t>
      </w:r>
    </w:p>
    <w:p w14:paraId="18320BD6" w14:textId="4216AA8A" w:rsidR="009836DA" w:rsidRPr="006A683C" w:rsidRDefault="009836DA" w:rsidP="00AE21E7">
      <w:pPr>
        <w:pStyle w:val="ListParagraph"/>
        <w:numPr>
          <w:ilvl w:val="1"/>
          <w:numId w:val="14"/>
        </w:numPr>
        <w:spacing w:before="120" w:after="120"/>
      </w:pPr>
      <w:r w:rsidRPr="006A683C">
        <w:t>A third-party-aggregator model in which the utility transacts with an aggregation rather than with individual DER customers.</w:t>
      </w:r>
      <w:r>
        <w:t xml:space="preserve"> (e.g. Dominion’s </w:t>
      </w:r>
      <w:r w:rsidRPr="00CE2521">
        <w:t>BYOD Aggregator Access Pilot)</w:t>
      </w:r>
    </w:p>
    <w:p w14:paraId="7CB6FDC4" w14:textId="112E5A47" w:rsidR="009836DA" w:rsidRPr="00E8709A" w:rsidRDefault="009836DA" w:rsidP="00AE21E7">
      <w:pPr>
        <w:pStyle w:val="ListParagraph"/>
        <w:spacing w:before="120" w:after="120"/>
        <w:ind w:left="720"/>
      </w:pPr>
      <w:r w:rsidRPr="006A683C">
        <w:t xml:space="preserve">The Task Force discussed these variations but did not fully develop each one as a near-term priority type. As Virginia moves toward locally targeted programs or third-party aggregator models, additional policy topics </w:t>
      </w:r>
      <w:r>
        <w:t>will need to be addressed</w:t>
      </w:r>
      <w:r w:rsidRPr="006A683C">
        <w:t>, including local capacity valuation, aggregator licensing or qualification, more detailed operational coordination, and more granular data and measurement requirements.</w:t>
      </w:r>
    </w:p>
    <w:p w14:paraId="08F427D8" w14:textId="786AA548" w:rsidR="009836DA" w:rsidRDefault="009836DA" w:rsidP="00AE21E7">
      <w:pPr>
        <w:pStyle w:val="ListParagraph"/>
        <w:numPr>
          <w:ilvl w:val="0"/>
          <w:numId w:val="14"/>
        </w:numPr>
        <w:contextualSpacing/>
      </w:pPr>
      <w:r w:rsidRPr="00A539C5">
        <w:rPr>
          <w:b/>
          <w:bCs/>
        </w:rPr>
        <w:t>Data-center demand flexibility</w:t>
      </w:r>
    </w:p>
    <w:p w14:paraId="0EAD6968" w14:textId="4DDF45CF" w:rsidR="009836DA" w:rsidRDefault="009836DA" w:rsidP="00AE21E7">
      <w:pPr>
        <w:pStyle w:val="ListParagraph"/>
        <w:spacing w:after="120"/>
        <w:ind w:left="720"/>
      </w:pPr>
      <w:r w:rsidRPr="006A683C">
        <w:t>The second priority VPP type addresses Virginia’s rapid growth in data-center and other large-load demand. The initial concept is a utility VPP program in which a data center or other large-load customer provides funding for dispatchable DER capacity that can help meet a local capacity need associated with the customer’s demand</w:t>
      </w:r>
      <w:r>
        <w:t xml:space="preserve">. </w:t>
      </w:r>
    </w:p>
    <w:p w14:paraId="0A4D123F" w14:textId="67FDEC33" w:rsidR="009836DA" w:rsidRPr="004721C0" w:rsidRDefault="009836DA" w:rsidP="00AE21E7">
      <w:pPr>
        <w:pStyle w:val="ListParagraph"/>
        <w:spacing w:before="120" w:after="120"/>
        <w:ind w:left="720"/>
      </w:pPr>
      <w:r w:rsidRPr="004721C0">
        <w:t xml:space="preserve">Participating DERs could include storage, flexible load, managed charging, and other dispatchable resources capable of providing capacity in the relevant location and timeframe. The purpose is to reduce infrastructure costs and </w:t>
      </w:r>
      <w:r>
        <w:t xml:space="preserve">could be used </w:t>
      </w:r>
      <w:r w:rsidRPr="004721C0">
        <w:t>accelerate or improve the efficiency of large-load interconnection by supplementing conventional grid investments with flexible, locally responsive capacity</w:t>
      </w:r>
      <w:r>
        <w:t xml:space="preserve">. </w:t>
      </w:r>
    </w:p>
    <w:p w14:paraId="28F9F88D" w14:textId="628D6112" w:rsidR="009836DA" w:rsidRDefault="009836DA" w:rsidP="00AE21E7">
      <w:pPr>
        <w:pStyle w:val="ListParagraph"/>
        <w:spacing w:before="120" w:after="120"/>
        <w:ind w:left="720"/>
      </w:pPr>
      <w:r w:rsidRPr="004721C0">
        <w:t>The Task Force distinguished this concept from the demand-flexibility framework contemplated in House Bill 284. The data-center-funded utility-VPP concept is principally an implementation and transaction model: a large-load customer contributes funding to support a utility program that obtains local, dispatchable DER capacity.</w:t>
      </w:r>
    </w:p>
    <w:p w14:paraId="3E142BE1" w14:textId="7479826B" w:rsidR="009836DA" w:rsidRDefault="009836DA" w:rsidP="00AE21E7">
      <w:pPr>
        <w:pStyle w:val="ListParagraph"/>
        <w:spacing w:before="120" w:after="120"/>
        <w:ind w:left="720"/>
      </w:pPr>
      <w:r w:rsidRPr="004721C0">
        <w:t>By comparison, a demand-flexibility standard or related voluntary program establishes a broader policy framework for flexible demand. The precise structure of payments, obligations, performance requirements, customer participation, and utility responsibilities will require further clarification as policy development proceeds.</w:t>
      </w:r>
    </w:p>
    <w:p w14:paraId="03BFDD52" w14:textId="7A47C299" w:rsidR="009836DA" w:rsidRDefault="009836DA" w:rsidP="00AE21E7">
      <w:pPr>
        <w:pStyle w:val="ListParagraph"/>
        <w:spacing w:before="120" w:after="120"/>
        <w:ind w:left="720"/>
      </w:pPr>
      <w:r w:rsidRPr="004721C0">
        <w:t>A significant potential variation is a direct contract between a data center and a third-party VPP or DER aggregator, rather than a utility-administered program. Such a model could create a more direct bilateral transaction for flexible capacity or related services. The Task Force did not treat that variation as the initial priority</w:t>
      </w:r>
      <w:r>
        <w:t xml:space="preserve"> given Virginia’s vertically integrated structure in much of the state</w:t>
      </w:r>
      <w:r w:rsidRPr="004721C0">
        <w:t>, but it remains a potential future pathway. Similarly, local DER flexibility associated with large loads may eventually be used not only to address interconnection timing but also to reduce congestion-related supply costs, improve local system utilization, or support other locational grid needs</w:t>
      </w:r>
      <w:r>
        <w:t xml:space="preserve">. </w:t>
      </w:r>
    </w:p>
    <w:p w14:paraId="729A49B5" w14:textId="07527028" w:rsidR="009836DA" w:rsidRDefault="009836DA" w:rsidP="009836DA">
      <w:pPr>
        <w:pStyle w:val="ListParagraph"/>
        <w:numPr>
          <w:ilvl w:val="0"/>
          <w:numId w:val="14"/>
        </w:numPr>
      </w:pPr>
      <w:r w:rsidRPr="00A539C5">
        <w:rPr>
          <w:b/>
          <w:bCs/>
        </w:rPr>
        <w:t>PJM capacity market</w:t>
      </w:r>
      <w:r>
        <w:t xml:space="preserve"> (FERC Order 2222 alignment)</w:t>
      </w:r>
      <w:r w:rsidRPr="00E8709A">
        <w:t xml:space="preserve">: </w:t>
      </w:r>
    </w:p>
    <w:p w14:paraId="4838F33C" w14:textId="63673D3D" w:rsidR="009836DA" w:rsidRPr="00C36CA0" w:rsidRDefault="009836DA" w:rsidP="00AE21E7">
      <w:pPr>
        <w:pStyle w:val="ListParagraph"/>
        <w:spacing w:before="120" w:after="120"/>
        <w:ind w:left="720"/>
      </w:pPr>
      <w:r w:rsidRPr="00C36CA0">
        <w:t xml:space="preserve">The third priority VPP type is the aggregation of behind-the-meter storage and other eligible DERs for direct participation in PJM capacity markets under FERC Order No. 2222. This pathway would enable an eligible DER aggregator to combine individual resources into a VPP that can bid into PJM’s wholesale market and provide </w:t>
      </w:r>
      <w:r>
        <w:t>wholesale market</w:t>
      </w:r>
      <w:r w:rsidRPr="00C36CA0">
        <w:t xml:space="preserve"> services, subject to PJM’s market rules and the necessary state and EDC procedures.</w:t>
      </w:r>
    </w:p>
    <w:p w14:paraId="3DF3BB30" w14:textId="7E3367E4" w:rsidR="009836DA" w:rsidRDefault="009836DA" w:rsidP="00AE21E7">
      <w:pPr>
        <w:pStyle w:val="ListParagraph"/>
        <w:spacing w:before="120" w:after="120"/>
        <w:ind w:left="720"/>
      </w:pPr>
      <w:r w:rsidRPr="00C36CA0">
        <w:t xml:space="preserve">This VPP type was initially treated as a high priority because of both the Task Force’s statutory direction to support FERC Order No. 2222 compliance and the potential for DER aggregation to provide ratepayer benefits through participation in regional wholesale markets. However, Task Force discussion and input from prospective aggregators indicated that direct PJM participation may not be commercially attractive in the immediate term under the current PJM construct. The draft report notes that no DER aggregation resources bid into PJM’s June 2026 Base Residual Auction </w:t>
      </w:r>
      <w:r>
        <w:t>even though</w:t>
      </w:r>
      <w:r w:rsidRPr="00C36CA0">
        <w:t xml:space="preserve"> PJM’s DER Aggregator Participation Model </w:t>
      </w:r>
      <w:r>
        <w:t xml:space="preserve">is well understood, if not fully implemented yet. </w:t>
      </w:r>
    </w:p>
    <w:p w14:paraId="0509ABFF" w14:textId="34892E48" w:rsidR="009836DA" w:rsidRDefault="009836DA" w:rsidP="00AE21E7">
      <w:pPr>
        <w:pStyle w:val="ListParagraph"/>
        <w:spacing w:before="120" w:after="120"/>
        <w:ind w:left="720"/>
      </w:pPr>
      <w:r w:rsidRPr="00C36CA0">
        <w:t xml:space="preserve">For </w:t>
      </w:r>
      <w:r>
        <w:t>these reasons</w:t>
      </w:r>
      <w:r w:rsidRPr="00C36CA0">
        <w:t>, the Task Force’s near-term recommendations focus on ensuring Virginia meets the minimum state-level requirements needed for Order No. 2222 implementation</w:t>
      </w:r>
      <w:r>
        <w:t xml:space="preserve">, while continuing to support traditional DER participation in demand response programs. </w:t>
      </w:r>
      <w:r w:rsidRPr="00C36CA0">
        <w:t xml:space="preserve">Relevant actions </w:t>
      </w:r>
      <w:r>
        <w:t xml:space="preserve">for harmonizing the Commonwealth with Order No. 2222 </w:t>
      </w:r>
      <w:r w:rsidRPr="00C36CA0">
        <w:t xml:space="preserve">include establishing procedures for DER registration, EDC review, EDC-aggregator operational coordination, data access, customer protections, dispute resolution, dual participation, and other state-level processes that will allow eligible aggregators to register, bid, and perform once PJM’s participation pathway becomes operational. </w:t>
      </w:r>
    </w:p>
    <w:p w14:paraId="4F2FA828" w14:textId="3D953EEE" w:rsidR="009836DA" w:rsidRDefault="009836DA" w:rsidP="00AE21E7">
      <w:pPr>
        <w:pStyle w:val="ListParagraph"/>
        <w:spacing w:before="120" w:after="120"/>
        <w:ind w:left="720"/>
      </w:pPr>
      <w:r w:rsidRPr="00C36CA0">
        <w:t>The Task Force’s Order No. 2222 recommendations</w:t>
      </w:r>
      <w:r>
        <w:t xml:space="preserve">—further discussed under Section XX—should </w:t>
      </w:r>
      <w:r w:rsidRPr="00C36CA0">
        <w:t xml:space="preserve">therefore be presented as a distinct but connected roadmap. They are intended to move Virginia beyond last-minute compliance and toward a framework that gives aggregators sufficient clarity to evaluate participation in future PJM capacity auctions. At the same time, </w:t>
      </w:r>
      <w:r>
        <w:t xml:space="preserve">as noted by Task Force members and stakeholders, the Task Force acknowledges that </w:t>
      </w:r>
      <w:r w:rsidRPr="00C36CA0">
        <w:t xml:space="preserve">immediate customer and grid value may be available through </w:t>
      </w:r>
      <w:r>
        <w:t xml:space="preserve">existing PJM demand response programs and state-level </w:t>
      </w:r>
      <w:r w:rsidRPr="00C36CA0">
        <w:t>utility-administered peak-shaving and local-capacity programs while PJM’s rules, economics, and implementation processes mature.</w:t>
      </w:r>
    </w:p>
    <w:p w14:paraId="7252D3B4" w14:textId="77777777" w:rsidR="009836DA" w:rsidRPr="00D3457B" w:rsidRDefault="009836DA" w:rsidP="009836DA">
      <w:r w:rsidRPr="00D3457B">
        <w:t>The</w:t>
      </w:r>
      <w:r>
        <w:t xml:space="preserve">se </w:t>
      </w:r>
      <w:r w:rsidRPr="00D3457B">
        <w:t xml:space="preserve">priority VPP types should be understood </w:t>
      </w:r>
      <w:r w:rsidRPr="003447B7">
        <w:t xml:space="preserve">as </w:t>
      </w:r>
      <w:r w:rsidRPr="00CE2521">
        <w:t>initial implementation priorities</w:t>
      </w:r>
      <w:r w:rsidRPr="003447B7">
        <w:t>,</w:t>
      </w:r>
      <w:r w:rsidRPr="00D3457B">
        <w:t xml:space="preserve"> not as an exhaustive list of the VPPs Virginia should permit or pursue over time. The Task Force discussed future applications including local non-wires alternatives, third-party aggregation for distribution-level services, utility-controlled DER models, vehicle-to-grid applications, direct large-load-to-aggregator contracts, and additional wholesale-market services. Those models may become appropriate as Virginia develops the related policy infrastructure and as market conditions evolve.</w:t>
      </w:r>
    </w:p>
    <w:p w14:paraId="3DF1F304" w14:textId="77777777" w:rsidR="009836DA" w:rsidRDefault="009836DA" w:rsidP="009836DA"/>
    <w:p w14:paraId="0604C323" w14:textId="77851BEA" w:rsidR="009836DA" w:rsidRDefault="009836DA" w:rsidP="009836DA">
      <w:r>
        <w:rPr>
          <w:b/>
          <w:bCs/>
        </w:rPr>
        <w:t>Step 2: P</w:t>
      </w:r>
      <w:r w:rsidRPr="007E6001">
        <w:rPr>
          <w:b/>
          <w:bCs/>
        </w:rPr>
        <w:t xml:space="preserve">riority policy topics were identified to enable these VPP types. </w:t>
      </w:r>
      <w:r>
        <w:rPr>
          <w:b/>
          <w:bCs/>
        </w:rPr>
        <w:t xml:space="preserve"> </w:t>
      </w:r>
      <w:r>
        <w:t xml:space="preserve">Leveraging </w:t>
      </w:r>
      <w:r w:rsidRPr="008D1450">
        <w:t>the</w:t>
      </w:r>
      <w:r>
        <w:t xml:space="preserve">se insights and informed by Task Force and stakeholder input, EPDI identified the priority </w:t>
      </w:r>
      <w:r w:rsidRPr="008D1450">
        <w:t xml:space="preserve">policy topics </w:t>
      </w:r>
      <w:r>
        <w:t xml:space="preserve">that need to be addressed to enable these </w:t>
      </w:r>
      <w:r w:rsidRPr="008D1450">
        <w:t xml:space="preserve">priority VPP </w:t>
      </w:r>
      <w:r>
        <w:t>T</w:t>
      </w:r>
      <w:r w:rsidRPr="008D1450">
        <w:t>ypes. Topics were evaluated according to their importance to enabling the selected VPP applications. This allowed the Task Force to distinguish between Tier 1 topics that need early attention and other topics that will become more important as Virginia pursues more advanced VPP models, additional technologies, or additional grid services.</w:t>
      </w:r>
    </w:p>
    <w:p w14:paraId="7FBED1A7" w14:textId="77777777" w:rsidR="009836DA" w:rsidRDefault="009836DA" w:rsidP="009836DA"/>
    <w:p w14:paraId="567DFFDC" w14:textId="43641AAB" w:rsidR="009836DA" w:rsidRDefault="00FB7937" w:rsidP="009836DA">
      <w:r>
        <w:t xml:space="preserve">Fourteen </w:t>
      </w:r>
      <w:r w:rsidR="009836DA">
        <w:t>policy topics were identified as Tier 1 topics for Virginia to address, including topics like DER registration, customer data access, dispatch override. These are summarized in Table X</w:t>
      </w:r>
      <w:r>
        <w:t>X</w:t>
      </w:r>
      <w:r w:rsidR="009836DA">
        <w:t xml:space="preserve"> below. </w:t>
      </w:r>
      <w:r w:rsidR="009836DA" w:rsidRPr="00A24FA2">
        <w:t xml:space="preserve">These topics </w:t>
      </w:r>
      <w:r w:rsidR="009836DA">
        <w:t>cover the full</w:t>
      </w:r>
      <w:r w:rsidR="009836DA" w:rsidRPr="00A24FA2">
        <w:t xml:space="preserve"> lifecycle of a VPP program—from initial setup and registration, through deployment and operation, to market transactions and utility financial treatment.</w:t>
      </w:r>
    </w:p>
    <w:p w14:paraId="3ACD6F11" w14:textId="77777777" w:rsidR="009836DA" w:rsidRPr="007E6001" w:rsidRDefault="009836DA" w:rsidP="009836DA">
      <w:pPr>
        <w:rPr>
          <w:b/>
          <w:bCs/>
        </w:rPr>
      </w:pPr>
    </w:p>
    <w:p w14:paraId="762AB856" w14:textId="725FF64C" w:rsidR="009836DA" w:rsidRDefault="009836DA" w:rsidP="009836DA">
      <w:r>
        <w:rPr>
          <w:b/>
          <w:bCs/>
        </w:rPr>
        <w:t xml:space="preserve">Step 3: </w:t>
      </w:r>
      <w:r w:rsidR="001F4F62">
        <w:rPr>
          <w:b/>
          <w:bCs/>
        </w:rPr>
        <w:t>The c</w:t>
      </w:r>
      <w:r>
        <w:rPr>
          <w:b/>
          <w:bCs/>
        </w:rPr>
        <w:t xml:space="preserve">urrent state of Virginia’s work across these priority policy topics was evaluated to better understand the foundation for where Virginia is on these topics. </w:t>
      </w:r>
      <w:r w:rsidRPr="008D1450">
        <w:t xml:space="preserve">For each priority policy topic, </w:t>
      </w:r>
      <w:r>
        <w:t>EPDI</w:t>
      </w:r>
      <w:r w:rsidRPr="008D1450">
        <w:t xml:space="preserve"> assessed the Commonwealth’s current policies, proceedings, utility practices, and active discussions</w:t>
      </w:r>
      <w:r>
        <w:t xml:space="preserve"> based on Task Force member and utility input (particularly with context from Dominion to align work with their ongoing VPP pilot) and review of recent regulatory proceedings. </w:t>
      </w:r>
      <w:r w:rsidRPr="008D1450">
        <w:t xml:space="preserve">The purpose of this “state of the state” assessment was to determine what rules, procedures, systems, or institutional processes already exist; what is being addressed through the Dominion VPP pilot or other efforts; and what remains to be developed for durable VPP implementation. </w:t>
      </w:r>
    </w:p>
    <w:p w14:paraId="5FEEC14A" w14:textId="77777777" w:rsidR="009836DA" w:rsidRDefault="009836DA" w:rsidP="009836DA"/>
    <w:p w14:paraId="657A0C12" w14:textId="2D12A9FA" w:rsidR="009836DA" w:rsidRDefault="009836DA" w:rsidP="009836DA">
      <w:r w:rsidRPr="008D1450">
        <w:t xml:space="preserve">The preliminary assessment </w:t>
      </w:r>
      <w:r w:rsidR="00596BBA">
        <w:t xml:space="preserve">conducted by EPDI </w:t>
      </w:r>
      <w:r w:rsidR="009C1F0D">
        <w:t>found</w:t>
      </w:r>
      <w:r w:rsidRPr="008D1450">
        <w:t xml:space="preserve"> that Virginia’s existing policies and procedures are generally not yet sufficient to support viable </w:t>
      </w:r>
      <w:r w:rsidR="00EF4AB9">
        <w:t xml:space="preserve">permanent </w:t>
      </w:r>
      <w:r w:rsidRPr="008D1450">
        <w:t>VPP</w:t>
      </w:r>
      <w:r w:rsidR="00EF4AB9">
        <w:t xml:space="preserve"> programs </w:t>
      </w:r>
      <w:r w:rsidRPr="008D1450">
        <w:t xml:space="preserve">at scale outside </w:t>
      </w:r>
      <w:r w:rsidR="00EF4AB9">
        <w:t xml:space="preserve">of </w:t>
      </w:r>
      <w:r w:rsidRPr="008D1450">
        <w:t>pilot contexts</w:t>
      </w:r>
      <w:r>
        <w:t xml:space="preserve">. There are </w:t>
      </w:r>
      <w:r w:rsidRPr="008D1450">
        <w:t xml:space="preserve">relatively few VPP-specific </w:t>
      </w:r>
      <w:r w:rsidR="00596BBA">
        <w:t xml:space="preserve">enabling policies </w:t>
      </w:r>
      <w:r w:rsidRPr="008D1450">
        <w:t xml:space="preserve">being actively developed </w:t>
      </w:r>
      <w:r w:rsidR="00596BBA">
        <w:t xml:space="preserve">in regulatory dockets or programs </w:t>
      </w:r>
      <w:r w:rsidRPr="008D1450">
        <w:t>beyond the Dominion pilot</w:t>
      </w:r>
      <w:r w:rsidR="003E7ABF">
        <w:t xml:space="preserve">, with </w:t>
      </w:r>
      <w:r w:rsidR="00597A57">
        <w:t xml:space="preserve">most efforts for Tier 1 policy topics program-specific </w:t>
      </w:r>
      <w:r w:rsidR="009710F1">
        <w:t xml:space="preserve">rather than </w:t>
      </w:r>
      <w:r w:rsidR="005A4AD8">
        <w:t xml:space="preserve">statewide as summarized in Table X below. </w:t>
      </w:r>
    </w:p>
    <w:p w14:paraId="162E06BA" w14:textId="77777777" w:rsidR="009836DA" w:rsidRDefault="009836DA" w:rsidP="009836DA"/>
    <w:p w14:paraId="6E4C6FC3" w14:textId="1917EBF3" w:rsidR="009836DA" w:rsidRDefault="009836DA" w:rsidP="009836DA">
      <w:r w:rsidRPr="00C1541D">
        <w:t xml:space="preserve">Virginia has important building blocks for DER deployment and early-stage VPP activity, but does not yet have the integrated statewide policy, procedural, and systems framework needed to support durable, scalable VPP participation outside discrete utility programs and pilots. The Commonwealth has established a foundation through net energy metering, shared solar, demand-side management programs, statutory storage targets, recent DER and grid-utilization legislation, and Dominion Energy’s authorized VPP pilot. However, these initiatives were generally developed for distinct purposes and do not yet constitute a common </w:t>
      </w:r>
      <w:r w:rsidR="005624DE">
        <w:t xml:space="preserve">enabling </w:t>
      </w:r>
      <w:r w:rsidR="005A4AD8">
        <w:t xml:space="preserve">statewide </w:t>
      </w:r>
      <w:r w:rsidR="005624DE">
        <w:t xml:space="preserve">policy </w:t>
      </w:r>
      <w:r w:rsidRPr="00C1541D">
        <w:t>framework</w:t>
      </w:r>
      <w:r w:rsidR="005A4AD8">
        <w:t xml:space="preserve">. Table X below includes a brief preliminary summary of the current state of development in Virginia across identified Tier 1 policy topics. </w:t>
      </w:r>
    </w:p>
    <w:p w14:paraId="05688514" w14:textId="77777777" w:rsidR="009836DA" w:rsidRDefault="009836DA" w:rsidP="009836DA"/>
    <w:p w14:paraId="15C5FFD9" w14:textId="0F0A18D4" w:rsidR="009836DA" w:rsidRDefault="009836DA" w:rsidP="009836DA">
      <w:r w:rsidRPr="00411371">
        <w:t xml:space="preserve">Dominion’s VPP pilot is an important near-term testing ground and can inform statewide </w:t>
      </w:r>
      <w:r w:rsidR="00002F29">
        <w:t xml:space="preserve">VPP policy and </w:t>
      </w:r>
      <w:r w:rsidRPr="00411371">
        <w:t>program design</w:t>
      </w:r>
      <w:r w:rsidR="00002F29">
        <w:t xml:space="preserve"> and practices. </w:t>
      </w:r>
      <w:r w:rsidRPr="00411371">
        <w:t xml:space="preserve">The pilot, however, should not be treated as the sole or final VPP model for Virginia. </w:t>
      </w:r>
      <w:r w:rsidR="005A4AD8">
        <w:t xml:space="preserve">Establishing clear statewide polices for several </w:t>
      </w:r>
      <w:r w:rsidRPr="00411371">
        <w:t xml:space="preserve">issues </w:t>
      </w:r>
      <w:r w:rsidR="005A4AD8">
        <w:t xml:space="preserve">are </w:t>
      </w:r>
      <w:r w:rsidRPr="00411371">
        <w:t xml:space="preserve">necessary </w:t>
      </w:r>
      <w:r w:rsidR="005A4AD8">
        <w:t xml:space="preserve">to support </w:t>
      </w:r>
      <w:r w:rsidRPr="00411371">
        <w:t xml:space="preserve">broader </w:t>
      </w:r>
      <w:r w:rsidR="00922404">
        <w:t xml:space="preserve">VPP </w:t>
      </w:r>
      <w:r w:rsidRPr="00411371">
        <w:t>deployment</w:t>
      </w:r>
      <w:r w:rsidR="00922404">
        <w:t xml:space="preserve"> at scale</w:t>
      </w:r>
      <w:r w:rsidRPr="00411371">
        <w:t>—</w:t>
      </w:r>
      <w:r w:rsidR="005A4AD8">
        <w:t xml:space="preserve">such as </w:t>
      </w:r>
      <w:r w:rsidR="00922404">
        <w:t>defining</w:t>
      </w:r>
      <w:r w:rsidRPr="00411371">
        <w:t xml:space="preserve"> direct third-party data access, standardized operational protocols, consumer protections, dual-participation rules, and common metering and settlement practices</w:t>
      </w:r>
      <w:r w:rsidR="005A4AD8">
        <w:t xml:space="preserve">. </w:t>
      </w:r>
      <w:r w:rsidRPr="00411371">
        <w:t>.</w:t>
      </w:r>
    </w:p>
    <w:p w14:paraId="481173C4" w14:textId="77777777" w:rsidR="009836DA" w:rsidRDefault="009836DA" w:rsidP="009836DA"/>
    <w:p w14:paraId="60930FA0" w14:textId="7F4EF90C" w:rsidR="009836DA" w:rsidRDefault="009836DA" w:rsidP="009836DA">
      <w:r w:rsidRPr="004F42E1">
        <w:rPr>
          <w:b/>
          <w:bCs/>
        </w:rPr>
        <w:t xml:space="preserve">Step 4: </w:t>
      </w:r>
      <w:r w:rsidR="001F4F62">
        <w:rPr>
          <w:b/>
          <w:bCs/>
        </w:rPr>
        <w:t>The</w:t>
      </w:r>
      <w:r w:rsidRPr="004F42E1">
        <w:rPr>
          <w:b/>
          <w:bCs/>
        </w:rPr>
        <w:t xml:space="preserve"> next meaningful </w:t>
      </w:r>
      <w:r w:rsidR="001F4F62">
        <w:rPr>
          <w:b/>
          <w:bCs/>
        </w:rPr>
        <w:t xml:space="preserve">policy topic </w:t>
      </w:r>
      <w:r w:rsidRPr="004F42E1">
        <w:rPr>
          <w:b/>
          <w:bCs/>
        </w:rPr>
        <w:t>milestone</w:t>
      </w:r>
      <w:r>
        <w:rPr>
          <w:b/>
          <w:bCs/>
        </w:rPr>
        <w:t xml:space="preserve"> for Virginia to achieve to enable viable VPP deployment</w:t>
      </w:r>
      <w:r w:rsidR="001F4F62">
        <w:rPr>
          <w:b/>
          <w:bCs/>
        </w:rPr>
        <w:t xml:space="preserve"> was identified</w:t>
      </w:r>
      <w:r w:rsidRPr="004F42E1">
        <w:rPr>
          <w:b/>
          <w:bCs/>
        </w:rPr>
        <w:t>.</w:t>
      </w:r>
      <w:r w:rsidRPr="008D1450">
        <w:t xml:space="preserve"> For each Tier 1 policy topic, </w:t>
      </w:r>
      <w:r>
        <w:t xml:space="preserve">EPDI identified </w:t>
      </w:r>
      <w:r w:rsidRPr="008D1450">
        <w:t>the next practical advancement needed to enable the priority VPP types</w:t>
      </w:r>
      <w:r>
        <w:t xml:space="preserve"> to form the basis for recommendations to move forward on the roadmap to achieve the Task Force’s long-term vision. Notably, the </w:t>
      </w:r>
      <w:r w:rsidRPr="008D1450">
        <w:t>recommendation need not resolve the entire future of a policy topic; rather, it identifies the next decision, procedure, system, filing, or stakeholder process needed to move Virginia materially closer to implementation.</w:t>
      </w:r>
    </w:p>
    <w:p w14:paraId="04CB5CC6" w14:textId="77777777" w:rsidR="009836DA" w:rsidRDefault="009836DA" w:rsidP="009836DA"/>
    <w:p w14:paraId="08B2BDC6" w14:textId="1DAC512E" w:rsidR="009836DA" w:rsidRDefault="009836DA" w:rsidP="009836DA">
      <w:r w:rsidRPr="00DC29DE">
        <w:t xml:space="preserve">To enable viable near-term VPP deployment, Virginia does not need to resolve every issue associated with a mature, fully interoperable DER market. It does, however, need to establish a minimum statewide VPP-enabling framework that replaces today’s largely program-specific practices with consistent rules, procedures, and systems for customer enrollment, DER registration, secure data exchange, aggregator participation, operational coordination, dispatch, measurement, settlement, and utility cost recovery. </w:t>
      </w:r>
      <w:r>
        <w:t xml:space="preserve">Building on the VPP Convergence project framework, a preliminary assessment of </w:t>
      </w:r>
      <w:r w:rsidRPr="00FF4677">
        <w:t xml:space="preserve">Virginia’s minimum </w:t>
      </w:r>
      <w:r>
        <w:t>viable policy levels was identified, summarized in Table X below.</w:t>
      </w:r>
      <w:r w:rsidRPr="00FF4677">
        <w:t xml:space="preserve"> </w:t>
      </w:r>
      <w:r w:rsidRPr="00DC29DE">
        <w:t xml:space="preserve">This framework </w:t>
      </w:r>
      <w:r>
        <w:t xml:space="preserve">can help </w:t>
      </w:r>
      <w:r w:rsidRPr="00DC29DE">
        <w:t>support the</w:t>
      </w:r>
      <w:r>
        <w:t xml:space="preserve"> development of </w:t>
      </w:r>
      <w:r w:rsidRPr="00DC29DE">
        <w:t>Task Force’s initial priority VPP types—</w:t>
      </w:r>
      <w:r>
        <w:t xml:space="preserve">particularly </w:t>
      </w:r>
      <w:r w:rsidRPr="00DC29DE">
        <w:t xml:space="preserve">utility peak-shaving programs and data-center-funded local-capacity programs—while also establishing a foundation for broader VPP models and eventual wholesale-market participation. </w:t>
      </w:r>
    </w:p>
    <w:p w14:paraId="4C26FDFD" w14:textId="77777777" w:rsidR="009836DA" w:rsidRDefault="009836DA" w:rsidP="009836DA"/>
    <w:p w14:paraId="0EEAC16F" w14:textId="76B318F7" w:rsidR="009836DA" w:rsidRPr="001B4755" w:rsidRDefault="009836DA" w:rsidP="009836DA">
      <w:pPr>
        <w:rPr>
          <w:i/>
          <w:iCs/>
        </w:rPr>
      </w:pPr>
      <w:r>
        <w:rPr>
          <w:i/>
          <w:iCs/>
        </w:rPr>
        <w:t xml:space="preserve">Note: The recommended actions needed to enable </w:t>
      </w:r>
      <w:r w:rsidR="001F4F62">
        <w:rPr>
          <w:i/>
          <w:iCs/>
        </w:rPr>
        <w:t xml:space="preserve">a </w:t>
      </w:r>
      <w:r>
        <w:rPr>
          <w:i/>
          <w:iCs/>
        </w:rPr>
        <w:t xml:space="preserve">PJM Capacity Market participation VPP </w:t>
      </w:r>
      <w:r w:rsidR="001F4F62">
        <w:rPr>
          <w:i/>
          <w:iCs/>
        </w:rPr>
        <w:t xml:space="preserve">Type </w:t>
      </w:r>
      <w:r>
        <w:rPr>
          <w:i/>
          <w:iCs/>
        </w:rPr>
        <w:t xml:space="preserve">in line with FERC Order 2222 is covered in Section X. </w:t>
      </w:r>
    </w:p>
    <w:p w14:paraId="5F0B6FBA" w14:textId="77777777" w:rsidR="009836DA" w:rsidRDefault="009836DA" w:rsidP="009836DA"/>
    <w:p w14:paraId="54CA1972" w14:textId="296F6AEC" w:rsidR="009836DA" w:rsidRPr="00B962DE" w:rsidRDefault="009836DA" w:rsidP="009836DA">
      <w:pPr>
        <w:jc w:val="center"/>
        <w:rPr>
          <w:b/>
          <w:bCs/>
        </w:rPr>
      </w:pPr>
      <w:r w:rsidRPr="00B962DE">
        <w:rPr>
          <w:b/>
          <w:bCs/>
        </w:rPr>
        <w:t xml:space="preserve">Table </w:t>
      </w:r>
      <w:r w:rsidR="005B4470">
        <w:rPr>
          <w:b/>
          <w:bCs/>
        </w:rPr>
        <w:t>2</w:t>
      </w:r>
      <w:r w:rsidRPr="00B962DE">
        <w:rPr>
          <w:b/>
          <w:bCs/>
        </w:rPr>
        <w:t xml:space="preserve">: Summary of Priority Policy Topics, Current state, and Minimum Viable Policy to Define </w:t>
      </w:r>
      <w:r>
        <w:br/>
      </w:r>
      <w:r w:rsidRPr="00B962DE">
        <w:rPr>
          <w:b/>
          <w:bCs/>
        </w:rPr>
        <w:t>(see Appendix XX for longer description)</w:t>
      </w:r>
    </w:p>
    <w:tbl>
      <w:tblPr>
        <w:tblStyle w:val="TableGrid"/>
        <w:tblW w:w="5000" w:type="pct"/>
        <w:tblLook w:val="04A0" w:firstRow="1" w:lastRow="0" w:firstColumn="1" w:lastColumn="0" w:noHBand="0" w:noVBand="1"/>
      </w:tblPr>
      <w:tblGrid>
        <w:gridCol w:w="2693"/>
        <w:gridCol w:w="2971"/>
        <w:gridCol w:w="3686"/>
      </w:tblGrid>
      <w:tr w:rsidR="009836DA" w:rsidRPr="00B962DE" w14:paraId="3F3911A0" w14:textId="77777777">
        <w:tc>
          <w:tcPr>
            <w:tcW w:w="0" w:type="auto"/>
            <w:hideMark/>
          </w:tcPr>
          <w:p w14:paraId="683F1350" w14:textId="77777777" w:rsidR="009836DA" w:rsidRPr="00457D68" w:rsidRDefault="009836DA">
            <w:pPr>
              <w:rPr>
                <w:b/>
                <w:sz w:val="20"/>
                <w:szCs w:val="20"/>
              </w:rPr>
            </w:pPr>
            <w:r w:rsidRPr="00457D68">
              <w:rPr>
                <w:b/>
                <w:sz w:val="20"/>
                <w:szCs w:val="20"/>
              </w:rPr>
              <w:t xml:space="preserve">Policy topic </w:t>
            </w:r>
          </w:p>
        </w:tc>
        <w:tc>
          <w:tcPr>
            <w:tcW w:w="1589" w:type="pct"/>
            <w:hideMark/>
          </w:tcPr>
          <w:p w14:paraId="56D4C94A" w14:textId="77777777" w:rsidR="009836DA" w:rsidRPr="00457D68" w:rsidRDefault="009836DA">
            <w:pPr>
              <w:rPr>
                <w:b/>
                <w:sz w:val="20"/>
                <w:szCs w:val="20"/>
              </w:rPr>
            </w:pPr>
            <w:r w:rsidRPr="00457D68">
              <w:rPr>
                <w:b/>
                <w:sz w:val="20"/>
                <w:szCs w:val="20"/>
              </w:rPr>
              <w:t>Current-state assessment</w:t>
            </w:r>
          </w:p>
        </w:tc>
        <w:tc>
          <w:tcPr>
            <w:tcW w:w="1971" w:type="pct"/>
            <w:hideMark/>
          </w:tcPr>
          <w:p w14:paraId="3C3B04EF" w14:textId="4FD1B1F7" w:rsidR="009836DA" w:rsidRPr="00457D68" w:rsidRDefault="009836DA">
            <w:pPr>
              <w:rPr>
                <w:b/>
                <w:sz w:val="20"/>
                <w:szCs w:val="20"/>
              </w:rPr>
            </w:pPr>
            <w:r w:rsidRPr="00457D68">
              <w:rPr>
                <w:b/>
                <w:sz w:val="20"/>
                <w:szCs w:val="20"/>
              </w:rPr>
              <w:t xml:space="preserve">Minimum viable </w:t>
            </w:r>
            <w:r w:rsidR="003330AF" w:rsidRPr="00457D68">
              <w:rPr>
                <w:b/>
                <w:sz w:val="20"/>
                <w:szCs w:val="20"/>
              </w:rPr>
              <w:t xml:space="preserve">policy readiness level to enable Virginia’s initial priority VPP Types </w:t>
            </w:r>
          </w:p>
        </w:tc>
      </w:tr>
      <w:tr w:rsidR="009836DA" w:rsidRPr="00B962DE" w14:paraId="523A5B48" w14:textId="77777777">
        <w:tc>
          <w:tcPr>
            <w:tcW w:w="0" w:type="auto"/>
            <w:hideMark/>
          </w:tcPr>
          <w:p w14:paraId="0B6607F0" w14:textId="77777777" w:rsidR="009836DA" w:rsidRPr="00457D68" w:rsidRDefault="009836DA">
            <w:pPr>
              <w:rPr>
                <w:sz w:val="20"/>
                <w:szCs w:val="20"/>
              </w:rPr>
            </w:pPr>
            <w:r w:rsidRPr="00457D68">
              <w:rPr>
                <w:b/>
                <w:sz w:val="20"/>
                <w:szCs w:val="20"/>
              </w:rPr>
              <w:t>DER registration and EDC review</w:t>
            </w:r>
            <w:r w:rsidRPr="00457D68">
              <w:rPr>
                <w:sz w:val="20"/>
                <w:szCs w:val="20"/>
              </w:rPr>
              <w:t xml:space="preserve"> — Standard process for registering VPP DERs and giving EDCs reliability-related visibility</w:t>
            </w:r>
          </w:p>
        </w:tc>
        <w:tc>
          <w:tcPr>
            <w:tcW w:w="1589" w:type="pct"/>
            <w:hideMark/>
          </w:tcPr>
          <w:p w14:paraId="644B2960" w14:textId="77777777" w:rsidR="009836DA" w:rsidRPr="00457D68" w:rsidRDefault="009836DA">
            <w:pPr>
              <w:rPr>
                <w:sz w:val="20"/>
                <w:szCs w:val="20"/>
              </w:rPr>
            </w:pPr>
            <w:r w:rsidRPr="00457D68">
              <w:rPr>
                <w:sz w:val="20"/>
                <w:szCs w:val="20"/>
              </w:rPr>
              <w:t>No statewide rules; processes are program-specific. Dominion is developing procedures aligned with PJM timelines.</w:t>
            </w:r>
          </w:p>
        </w:tc>
        <w:tc>
          <w:tcPr>
            <w:tcW w:w="1971" w:type="pct"/>
            <w:hideMark/>
          </w:tcPr>
          <w:p w14:paraId="327F21A4" w14:textId="77777777" w:rsidR="009836DA" w:rsidRPr="00457D68" w:rsidRDefault="009836DA">
            <w:pPr>
              <w:rPr>
                <w:sz w:val="20"/>
                <w:szCs w:val="20"/>
              </w:rPr>
            </w:pPr>
            <w:r w:rsidRPr="00457D68">
              <w:rPr>
                <w:sz w:val="20"/>
                <w:szCs w:val="20"/>
              </w:rPr>
              <w:t>Statewide VPP enrollment and registration process with standard eligibility, information, review, and response timelines.</w:t>
            </w:r>
          </w:p>
        </w:tc>
      </w:tr>
      <w:tr w:rsidR="009836DA" w:rsidRPr="00B962DE" w14:paraId="12CC4CAB" w14:textId="77777777">
        <w:tc>
          <w:tcPr>
            <w:tcW w:w="0" w:type="auto"/>
            <w:hideMark/>
          </w:tcPr>
          <w:p w14:paraId="23CCB6AB" w14:textId="77777777" w:rsidR="009836DA" w:rsidRPr="00457D68" w:rsidRDefault="009836DA">
            <w:pPr>
              <w:rPr>
                <w:sz w:val="20"/>
                <w:szCs w:val="20"/>
              </w:rPr>
            </w:pPr>
            <w:r w:rsidRPr="00457D68">
              <w:rPr>
                <w:b/>
                <w:sz w:val="20"/>
                <w:szCs w:val="20"/>
              </w:rPr>
              <w:t>Customer data access and exchange</w:t>
            </w:r>
            <w:r w:rsidRPr="00457D68">
              <w:rPr>
                <w:sz w:val="20"/>
                <w:szCs w:val="20"/>
              </w:rPr>
              <w:t xml:space="preserve"> — Customer-authorized access to account, billing, interval, and DER data</w:t>
            </w:r>
          </w:p>
        </w:tc>
        <w:tc>
          <w:tcPr>
            <w:tcW w:w="1589" w:type="pct"/>
            <w:hideMark/>
          </w:tcPr>
          <w:p w14:paraId="7F888BF8" w14:textId="77777777" w:rsidR="009836DA" w:rsidRPr="00457D68" w:rsidRDefault="009836DA">
            <w:pPr>
              <w:rPr>
                <w:sz w:val="20"/>
                <w:szCs w:val="20"/>
              </w:rPr>
            </w:pPr>
            <w:r w:rsidRPr="00457D68">
              <w:rPr>
                <w:sz w:val="20"/>
                <w:szCs w:val="20"/>
              </w:rPr>
              <w:t>No current VPP-specific framework. Dominion pilot relies on an implementation vendor rather than direct third-party access; shared-solar rules are the closest precedent.</w:t>
            </w:r>
          </w:p>
        </w:tc>
        <w:tc>
          <w:tcPr>
            <w:tcW w:w="1971" w:type="pct"/>
            <w:hideMark/>
          </w:tcPr>
          <w:p w14:paraId="346E9EBB" w14:textId="77777777" w:rsidR="009836DA" w:rsidRPr="00457D68" w:rsidRDefault="009836DA">
            <w:pPr>
              <w:rPr>
                <w:sz w:val="20"/>
                <w:szCs w:val="20"/>
              </w:rPr>
            </w:pPr>
            <w:r w:rsidRPr="00457D68">
              <w:rPr>
                <w:sz w:val="20"/>
                <w:szCs w:val="20"/>
              </w:rPr>
              <w:t>EDC data-exchange platform using Green Button Connect My Data, with customer-controlled authorization and standardized, secure data sharing.</w:t>
            </w:r>
          </w:p>
        </w:tc>
      </w:tr>
      <w:tr w:rsidR="009836DA" w:rsidRPr="00B962DE" w14:paraId="36B9554B" w14:textId="77777777">
        <w:tc>
          <w:tcPr>
            <w:tcW w:w="0" w:type="auto"/>
            <w:hideMark/>
          </w:tcPr>
          <w:p w14:paraId="42A602B4" w14:textId="77777777" w:rsidR="009836DA" w:rsidRPr="00457D68" w:rsidRDefault="009836DA">
            <w:pPr>
              <w:rPr>
                <w:sz w:val="20"/>
                <w:szCs w:val="20"/>
              </w:rPr>
            </w:pPr>
            <w:r w:rsidRPr="00457D68">
              <w:rPr>
                <w:b/>
                <w:sz w:val="20"/>
                <w:szCs w:val="20"/>
              </w:rPr>
              <w:t>Third-party data access and specifications</w:t>
            </w:r>
            <w:r w:rsidRPr="00457D68">
              <w:rPr>
                <w:sz w:val="20"/>
                <w:szCs w:val="20"/>
              </w:rPr>
              <w:t xml:space="preserve"> — Aggregator onboarding and common data content/quality standards</w:t>
            </w:r>
          </w:p>
        </w:tc>
        <w:tc>
          <w:tcPr>
            <w:tcW w:w="1589" w:type="pct"/>
            <w:hideMark/>
          </w:tcPr>
          <w:p w14:paraId="75C29146" w14:textId="77777777" w:rsidR="009836DA" w:rsidRPr="00457D68" w:rsidRDefault="009836DA">
            <w:pPr>
              <w:rPr>
                <w:sz w:val="20"/>
                <w:szCs w:val="20"/>
              </w:rPr>
            </w:pPr>
            <w:r w:rsidRPr="00457D68">
              <w:rPr>
                <w:sz w:val="20"/>
                <w:szCs w:val="20"/>
              </w:rPr>
              <w:t>No standard onboarding, data fields, data history, or data-quality requirements.</w:t>
            </w:r>
          </w:p>
        </w:tc>
        <w:tc>
          <w:tcPr>
            <w:tcW w:w="1971" w:type="pct"/>
            <w:hideMark/>
          </w:tcPr>
          <w:p w14:paraId="444C1B1F" w14:textId="77777777" w:rsidR="009836DA" w:rsidRPr="00457D68" w:rsidRDefault="009836DA">
            <w:pPr>
              <w:rPr>
                <w:sz w:val="20"/>
                <w:szCs w:val="20"/>
              </w:rPr>
            </w:pPr>
            <w:r w:rsidRPr="00457D68">
              <w:rPr>
                <w:sz w:val="20"/>
                <w:szCs w:val="20"/>
              </w:rPr>
              <w:t>Prompt, reasonable third-party vetting and access; provide at least 24 months of standardized interval, billing, tariff, account, and quality-flag data.</w:t>
            </w:r>
          </w:p>
        </w:tc>
      </w:tr>
      <w:tr w:rsidR="009836DA" w:rsidRPr="00B962DE" w14:paraId="189D2B39" w14:textId="77777777">
        <w:tc>
          <w:tcPr>
            <w:tcW w:w="0" w:type="auto"/>
            <w:hideMark/>
          </w:tcPr>
          <w:p w14:paraId="7F0A00B3" w14:textId="77777777" w:rsidR="009836DA" w:rsidRPr="00457D68" w:rsidRDefault="009836DA">
            <w:pPr>
              <w:rPr>
                <w:sz w:val="20"/>
                <w:szCs w:val="20"/>
              </w:rPr>
            </w:pPr>
            <w:r w:rsidRPr="00457D68">
              <w:rPr>
                <w:b/>
                <w:sz w:val="20"/>
                <w:szCs w:val="20"/>
              </w:rPr>
              <w:t>Customer enrollment and protection</w:t>
            </w:r>
            <w:r w:rsidRPr="00457D68">
              <w:rPr>
                <w:sz w:val="20"/>
                <w:szCs w:val="20"/>
              </w:rPr>
              <w:t xml:space="preserve"> — Informed consent, transparent terms, customer choice, and exit rights</w:t>
            </w:r>
          </w:p>
        </w:tc>
        <w:tc>
          <w:tcPr>
            <w:tcW w:w="1589" w:type="pct"/>
            <w:hideMark/>
          </w:tcPr>
          <w:p w14:paraId="3DC9C6CB" w14:textId="77777777" w:rsidR="009836DA" w:rsidRPr="00457D68" w:rsidRDefault="009836DA">
            <w:pPr>
              <w:rPr>
                <w:sz w:val="20"/>
                <w:szCs w:val="20"/>
              </w:rPr>
            </w:pPr>
            <w:r w:rsidRPr="00457D68">
              <w:rPr>
                <w:sz w:val="20"/>
                <w:szCs w:val="20"/>
              </w:rPr>
              <w:t>No VPP-specific rules; existing solar, shared-solar, and general consumer protections may apply indirectly.</w:t>
            </w:r>
          </w:p>
        </w:tc>
        <w:tc>
          <w:tcPr>
            <w:tcW w:w="1971" w:type="pct"/>
            <w:hideMark/>
          </w:tcPr>
          <w:p w14:paraId="00DC25A7" w14:textId="77777777" w:rsidR="009836DA" w:rsidRPr="00457D68" w:rsidRDefault="009836DA">
            <w:pPr>
              <w:rPr>
                <w:sz w:val="20"/>
                <w:szCs w:val="20"/>
              </w:rPr>
            </w:pPr>
            <w:r w:rsidRPr="00457D68">
              <w:rPr>
                <w:sz w:val="20"/>
                <w:szCs w:val="20"/>
              </w:rPr>
              <w:t>VPP enrollment rules requiring clear disclosures, affirmative consent, dispatch and payment terms, data permissions, and withdrawal rights.</w:t>
            </w:r>
          </w:p>
        </w:tc>
      </w:tr>
      <w:tr w:rsidR="009836DA" w:rsidRPr="00B962DE" w14:paraId="09F8508F" w14:textId="77777777" w:rsidTr="00CE2521">
        <w:tc>
          <w:tcPr>
            <w:tcW w:w="0" w:type="auto"/>
            <w:hideMark/>
          </w:tcPr>
          <w:p w14:paraId="608FDBFC" w14:textId="77777777" w:rsidR="009836DA" w:rsidRPr="00457D68" w:rsidRDefault="009836DA">
            <w:pPr>
              <w:rPr>
                <w:sz w:val="20"/>
                <w:szCs w:val="20"/>
              </w:rPr>
            </w:pPr>
            <w:r w:rsidRPr="00457D68">
              <w:rPr>
                <w:b/>
                <w:sz w:val="20"/>
                <w:szCs w:val="20"/>
              </w:rPr>
              <w:t>Dispute resolution</w:t>
            </w:r>
            <w:r w:rsidRPr="00457D68">
              <w:rPr>
                <w:sz w:val="20"/>
                <w:szCs w:val="20"/>
              </w:rPr>
              <w:t xml:space="preserve"> — Process for resolving enrollment, data, dispatch, performance, and payment disputes</w:t>
            </w:r>
          </w:p>
        </w:tc>
        <w:tc>
          <w:tcPr>
            <w:tcW w:w="1589" w:type="pct"/>
            <w:hideMark/>
          </w:tcPr>
          <w:p w14:paraId="09F73352" w14:textId="77777777" w:rsidR="009836DA" w:rsidRPr="00457D68" w:rsidRDefault="009836DA">
            <w:pPr>
              <w:rPr>
                <w:sz w:val="20"/>
                <w:szCs w:val="20"/>
              </w:rPr>
            </w:pPr>
            <w:r w:rsidRPr="00457D68">
              <w:rPr>
                <w:sz w:val="20"/>
                <w:szCs w:val="20"/>
              </w:rPr>
              <w:t>No VPP-specific EDC–aggregator process. Interconnection procedures exist; Dominion’s pilot is developing dispute procedures.</w:t>
            </w:r>
          </w:p>
        </w:tc>
        <w:tc>
          <w:tcPr>
            <w:tcW w:w="1971" w:type="pct"/>
            <w:hideMark/>
          </w:tcPr>
          <w:p w14:paraId="6B7887A2" w14:textId="77777777" w:rsidR="009836DA" w:rsidRPr="00457D68" w:rsidRDefault="009836DA">
            <w:pPr>
              <w:rPr>
                <w:sz w:val="20"/>
                <w:szCs w:val="20"/>
              </w:rPr>
            </w:pPr>
            <w:r w:rsidRPr="00457D68">
              <w:rPr>
                <w:sz w:val="20"/>
                <w:szCs w:val="20"/>
              </w:rPr>
              <w:t>Statewide dispute process for EDC–aggregator matters; also cover EDC–data-center disputes over VPP funding or capacity credits where applicable.</w:t>
            </w:r>
          </w:p>
        </w:tc>
      </w:tr>
      <w:tr w:rsidR="009836DA" w:rsidRPr="00B962DE" w14:paraId="448E6AF3" w14:textId="77777777" w:rsidTr="00CE2521">
        <w:tc>
          <w:tcPr>
            <w:tcW w:w="0" w:type="auto"/>
            <w:hideMark/>
          </w:tcPr>
          <w:p w14:paraId="1637376C" w14:textId="77777777" w:rsidR="009836DA" w:rsidRPr="00457D68" w:rsidRDefault="009836DA">
            <w:pPr>
              <w:rPr>
                <w:sz w:val="20"/>
                <w:szCs w:val="20"/>
              </w:rPr>
            </w:pPr>
            <w:r w:rsidRPr="00457D68">
              <w:rPr>
                <w:b/>
                <w:sz w:val="20"/>
                <w:szCs w:val="20"/>
              </w:rPr>
              <w:t>Interconnection</w:t>
            </w:r>
            <w:r w:rsidRPr="00457D68">
              <w:rPr>
                <w:sz w:val="20"/>
                <w:szCs w:val="20"/>
              </w:rPr>
              <w:t xml:space="preserve"> — Physical DER connection and operating requirements for dispatchable resources</w:t>
            </w:r>
          </w:p>
        </w:tc>
        <w:tc>
          <w:tcPr>
            <w:tcW w:w="1589" w:type="pct"/>
            <w:hideMark/>
          </w:tcPr>
          <w:p w14:paraId="5F55E9EC" w14:textId="77777777" w:rsidR="009836DA" w:rsidRPr="00457D68" w:rsidRDefault="009836DA">
            <w:pPr>
              <w:rPr>
                <w:sz w:val="20"/>
                <w:szCs w:val="20"/>
              </w:rPr>
            </w:pPr>
            <w:r w:rsidRPr="00457D68">
              <w:rPr>
                <w:sz w:val="20"/>
                <w:szCs w:val="20"/>
              </w:rPr>
              <w:t>Addressed separately; existing interconnection processes remain foundational to VPP participation.</w:t>
            </w:r>
          </w:p>
        </w:tc>
        <w:tc>
          <w:tcPr>
            <w:tcW w:w="1971" w:type="pct"/>
            <w:hideMark/>
          </w:tcPr>
          <w:p w14:paraId="7DFBEBB5" w14:textId="77777777" w:rsidR="009836DA" w:rsidRPr="00457D68" w:rsidRDefault="009836DA">
            <w:pPr>
              <w:rPr>
                <w:sz w:val="20"/>
                <w:szCs w:val="20"/>
              </w:rPr>
            </w:pPr>
            <w:r w:rsidRPr="00457D68">
              <w:rPr>
                <w:sz w:val="20"/>
                <w:szCs w:val="20"/>
              </w:rPr>
              <w:t>Ensure interconnection rules accommodate dispatchable DER operation and clarify the relationship between interconnection approval and VPP enrollment.</w:t>
            </w:r>
          </w:p>
        </w:tc>
      </w:tr>
      <w:tr w:rsidR="009836DA" w:rsidRPr="00B962DE" w14:paraId="551DE832" w14:textId="77777777" w:rsidTr="00CE2521">
        <w:tc>
          <w:tcPr>
            <w:tcW w:w="0" w:type="auto"/>
            <w:hideMark/>
          </w:tcPr>
          <w:p w14:paraId="26A9D135" w14:textId="77777777" w:rsidR="009836DA" w:rsidRPr="00457D68" w:rsidRDefault="009836DA">
            <w:pPr>
              <w:rPr>
                <w:sz w:val="20"/>
                <w:szCs w:val="20"/>
              </w:rPr>
            </w:pPr>
            <w:r w:rsidRPr="00457D68">
              <w:rPr>
                <w:b/>
                <w:sz w:val="20"/>
                <w:szCs w:val="20"/>
              </w:rPr>
              <w:t>Cybersecurity</w:t>
            </w:r>
            <w:r w:rsidRPr="00457D68">
              <w:rPr>
                <w:sz w:val="20"/>
                <w:szCs w:val="20"/>
              </w:rPr>
              <w:t xml:space="preserve"> — Secure EDC–aggregator communications and third-party customer-data exchange</w:t>
            </w:r>
          </w:p>
        </w:tc>
        <w:tc>
          <w:tcPr>
            <w:tcW w:w="1589" w:type="pct"/>
            <w:hideMark/>
          </w:tcPr>
          <w:p w14:paraId="5BCBAB6E" w14:textId="77777777" w:rsidR="009836DA" w:rsidRPr="00457D68" w:rsidRDefault="009836DA">
            <w:pPr>
              <w:rPr>
                <w:sz w:val="20"/>
                <w:szCs w:val="20"/>
              </w:rPr>
            </w:pPr>
            <w:r w:rsidRPr="00457D68">
              <w:rPr>
                <w:sz w:val="20"/>
                <w:szCs w:val="20"/>
              </w:rPr>
              <w:t>Utilities must develop DER cybersecurity standards and implementation plans, but no VPP-specific interface rules exist.</w:t>
            </w:r>
          </w:p>
        </w:tc>
        <w:tc>
          <w:tcPr>
            <w:tcW w:w="1971" w:type="pct"/>
            <w:hideMark/>
          </w:tcPr>
          <w:p w14:paraId="2F7C783F" w14:textId="77777777" w:rsidR="009836DA" w:rsidRPr="00457D68" w:rsidRDefault="009836DA">
            <w:pPr>
              <w:rPr>
                <w:sz w:val="20"/>
                <w:szCs w:val="20"/>
              </w:rPr>
            </w:pPr>
            <w:r w:rsidRPr="00457D68">
              <w:rPr>
                <w:sz w:val="20"/>
                <w:szCs w:val="20"/>
              </w:rPr>
              <w:t>Baseline cybersecurity rules for EDC–aggregator operations and EDC–third-party data access, including authentication, encryption, access controls, and incident response.</w:t>
            </w:r>
          </w:p>
        </w:tc>
      </w:tr>
      <w:tr w:rsidR="009836DA" w:rsidRPr="00B962DE" w14:paraId="2C16684E" w14:textId="77777777" w:rsidTr="00CE2521">
        <w:tc>
          <w:tcPr>
            <w:tcW w:w="0" w:type="auto"/>
            <w:hideMark/>
          </w:tcPr>
          <w:p w14:paraId="7761A1CC" w14:textId="77777777" w:rsidR="009836DA" w:rsidRPr="00457D68" w:rsidRDefault="009836DA">
            <w:pPr>
              <w:rPr>
                <w:sz w:val="20"/>
                <w:szCs w:val="20"/>
              </w:rPr>
            </w:pPr>
            <w:r w:rsidRPr="00457D68">
              <w:rPr>
                <w:b/>
                <w:sz w:val="20"/>
                <w:szCs w:val="20"/>
              </w:rPr>
              <w:t>EDC–aggregator operational coordination</w:t>
            </w:r>
            <w:r w:rsidRPr="00457D68">
              <w:rPr>
                <w:sz w:val="20"/>
                <w:szCs w:val="20"/>
              </w:rPr>
              <w:t xml:space="preserve"> — Operational notices, real-time communications, and reliability coordination</w:t>
            </w:r>
          </w:p>
        </w:tc>
        <w:tc>
          <w:tcPr>
            <w:tcW w:w="1589" w:type="pct"/>
            <w:hideMark/>
          </w:tcPr>
          <w:p w14:paraId="778914EE" w14:textId="77777777" w:rsidR="009836DA" w:rsidRPr="00457D68" w:rsidRDefault="009836DA">
            <w:pPr>
              <w:rPr>
                <w:sz w:val="20"/>
                <w:szCs w:val="20"/>
              </w:rPr>
            </w:pPr>
            <w:r w:rsidRPr="00457D68">
              <w:rPr>
                <w:sz w:val="20"/>
                <w:szCs w:val="20"/>
              </w:rPr>
              <w:t>No statewide requirements; procedures are program-specific. Dominion’s pilot is the principal active example.</w:t>
            </w:r>
          </w:p>
        </w:tc>
        <w:tc>
          <w:tcPr>
            <w:tcW w:w="1971" w:type="pct"/>
            <w:hideMark/>
          </w:tcPr>
          <w:p w14:paraId="60F4D82F" w14:textId="77777777" w:rsidR="009836DA" w:rsidRPr="00457D68" w:rsidRDefault="009836DA">
            <w:pPr>
              <w:rPr>
                <w:sz w:val="20"/>
                <w:szCs w:val="20"/>
              </w:rPr>
            </w:pPr>
            <w:r w:rsidRPr="00457D68">
              <w:rPr>
                <w:sz w:val="20"/>
                <w:szCs w:val="20"/>
              </w:rPr>
              <w:t>Standard real-time coordination protocols covering contacts, notices, outage/emergency communications, data exchange, and escalation.</w:t>
            </w:r>
          </w:p>
        </w:tc>
      </w:tr>
      <w:tr w:rsidR="009836DA" w:rsidRPr="00B962DE" w14:paraId="0FBB0FB3" w14:textId="77777777" w:rsidTr="00CE2521">
        <w:tc>
          <w:tcPr>
            <w:tcW w:w="0" w:type="auto"/>
            <w:hideMark/>
          </w:tcPr>
          <w:p w14:paraId="72AC3B05" w14:textId="77777777" w:rsidR="009836DA" w:rsidRPr="00457D68" w:rsidRDefault="009836DA">
            <w:pPr>
              <w:rPr>
                <w:sz w:val="20"/>
                <w:szCs w:val="20"/>
              </w:rPr>
            </w:pPr>
            <w:r w:rsidRPr="00457D68">
              <w:rPr>
                <w:b/>
                <w:sz w:val="20"/>
                <w:szCs w:val="20"/>
              </w:rPr>
              <w:t>Dispatch override</w:t>
            </w:r>
            <w:r w:rsidRPr="00457D68">
              <w:rPr>
                <w:sz w:val="20"/>
                <w:szCs w:val="20"/>
              </w:rPr>
              <w:t xml:space="preserve"> — Conditions under which an EDC can limit or override VPP dispatch for safety or reliability</w:t>
            </w:r>
          </w:p>
        </w:tc>
        <w:tc>
          <w:tcPr>
            <w:tcW w:w="1589" w:type="pct"/>
            <w:hideMark/>
          </w:tcPr>
          <w:p w14:paraId="546121FB" w14:textId="77777777" w:rsidR="009836DA" w:rsidRPr="00457D68" w:rsidRDefault="009836DA">
            <w:pPr>
              <w:rPr>
                <w:sz w:val="20"/>
                <w:szCs w:val="20"/>
              </w:rPr>
            </w:pPr>
            <w:r w:rsidRPr="00457D68">
              <w:rPr>
                <w:sz w:val="20"/>
                <w:szCs w:val="20"/>
              </w:rPr>
              <w:t>No regulations. Dominion is developing Order 2222-related procedures; retail VPP programs have not yet addressed the issue fully.</w:t>
            </w:r>
          </w:p>
        </w:tc>
        <w:tc>
          <w:tcPr>
            <w:tcW w:w="1971" w:type="pct"/>
            <w:hideMark/>
          </w:tcPr>
          <w:p w14:paraId="2D617B11" w14:textId="77777777" w:rsidR="009836DA" w:rsidRPr="00457D68" w:rsidRDefault="009836DA">
            <w:pPr>
              <w:rPr>
                <w:sz w:val="20"/>
                <w:szCs w:val="20"/>
              </w:rPr>
            </w:pPr>
            <w:r w:rsidRPr="00457D68">
              <w:rPr>
                <w:sz w:val="20"/>
                <w:szCs w:val="20"/>
              </w:rPr>
              <w:t>Rules defining permitted override conditions, EDC–aggregator communications, documentation, restoration of normal dispatch, and compensation effects.</w:t>
            </w:r>
          </w:p>
        </w:tc>
      </w:tr>
      <w:tr w:rsidR="009836DA" w:rsidRPr="00B962DE" w14:paraId="696957D6" w14:textId="77777777" w:rsidTr="00CE2521">
        <w:tc>
          <w:tcPr>
            <w:tcW w:w="0" w:type="auto"/>
            <w:hideMark/>
          </w:tcPr>
          <w:p w14:paraId="1655F54F" w14:textId="77777777" w:rsidR="009836DA" w:rsidRPr="00457D68" w:rsidRDefault="009836DA">
            <w:pPr>
              <w:rPr>
                <w:sz w:val="20"/>
                <w:szCs w:val="20"/>
              </w:rPr>
            </w:pPr>
            <w:r w:rsidRPr="00457D68">
              <w:rPr>
                <w:b/>
                <w:sz w:val="20"/>
                <w:szCs w:val="20"/>
              </w:rPr>
              <w:t>Grid-service mechanisms</w:t>
            </w:r>
            <w:r w:rsidRPr="00457D68">
              <w:rPr>
                <w:sz w:val="20"/>
                <w:szCs w:val="20"/>
              </w:rPr>
              <w:t xml:space="preserve"> — Ways to procure and compensate DER services such as peak reduction or local capacity</w:t>
            </w:r>
          </w:p>
        </w:tc>
        <w:tc>
          <w:tcPr>
            <w:tcW w:w="1589" w:type="pct"/>
            <w:hideMark/>
          </w:tcPr>
          <w:p w14:paraId="7AB0A2C6" w14:textId="77777777" w:rsidR="009836DA" w:rsidRPr="00457D68" w:rsidRDefault="009836DA">
            <w:pPr>
              <w:rPr>
                <w:sz w:val="20"/>
                <w:szCs w:val="20"/>
              </w:rPr>
            </w:pPr>
            <w:r w:rsidRPr="00457D68">
              <w:rPr>
                <w:sz w:val="20"/>
                <w:szCs w:val="20"/>
              </w:rPr>
              <w:t>Authority and program design are addressed case by case through existing DSM or related mechanisms; no general framework exists.</w:t>
            </w:r>
          </w:p>
        </w:tc>
        <w:tc>
          <w:tcPr>
            <w:tcW w:w="1971" w:type="pct"/>
            <w:hideMark/>
          </w:tcPr>
          <w:p w14:paraId="65618648" w14:textId="77777777" w:rsidR="009836DA" w:rsidRPr="00457D68" w:rsidRDefault="009836DA">
            <w:pPr>
              <w:rPr>
                <w:sz w:val="20"/>
                <w:szCs w:val="20"/>
              </w:rPr>
            </w:pPr>
            <w:r w:rsidRPr="00457D68">
              <w:rPr>
                <w:sz w:val="20"/>
                <w:szCs w:val="20"/>
              </w:rPr>
              <w:t>For peak shaving, standardized utility-program design is sufficient. For data centers, include load-interconnection tariff provisions for contracted capacity and upgrade-cost or capacity benefits.</w:t>
            </w:r>
          </w:p>
        </w:tc>
      </w:tr>
      <w:tr w:rsidR="009836DA" w:rsidRPr="00B962DE" w14:paraId="3BAF77AA" w14:textId="77777777" w:rsidTr="00CE2521">
        <w:tc>
          <w:tcPr>
            <w:tcW w:w="0" w:type="auto"/>
            <w:hideMark/>
          </w:tcPr>
          <w:p w14:paraId="095BAB3A" w14:textId="77777777" w:rsidR="009836DA" w:rsidRPr="00457D68" w:rsidRDefault="009836DA">
            <w:pPr>
              <w:rPr>
                <w:sz w:val="20"/>
                <w:szCs w:val="20"/>
              </w:rPr>
            </w:pPr>
            <w:r w:rsidRPr="00457D68">
              <w:rPr>
                <w:b/>
                <w:sz w:val="20"/>
                <w:szCs w:val="20"/>
              </w:rPr>
              <w:t>Metering and performance measurement</w:t>
            </w:r>
            <w:r w:rsidRPr="00457D68">
              <w:rPr>
                <w:sz w:val="20"/>
                <w:szCs w:val="20"/>
              </w:rPr>
              <w:t xml:space="preserve"> — Measurement and verification of delivered VPP service</w:t>
            </w:r>
          </w:p>
        </w:tc>
        <w:tc>
          <w:tcPr>
            <w:tcW w:w="1589" w:type="pct"/>
            <w:hideMark/>
          </w:tcPr>
          <w:p w14:paraId="1CC47490" w14:textId="77777777" w:rsidR="009836DA" w:rsidRPr="00457D68" w:rsidRDefault="009836DA">
            <w:pPr>
              <w:rPr>
                <w:sz w:val="20"/>
                <w:szCs w:val="20"/>
              </w:rPr>
            </w:pPr>
            <w:r w:rsidRPr="00457D68">
              <w:rPr>
                <w:sz w:val="20"/>
                <w:szCs w:val="20"/>
              </w:rPr>
              <w:t>No VPP-specific metering rules; submetering and device-level metering remain unresolved, with no active regulatory discussion identified.</w:t>
            </w:r>
          </w:p>
        </w:tc>
        <w:tc>
          <w:tcPr>
            <w:tcW w:w="1971" w:type="pct"/>
            <w:hideMark/>
          </w:tcPr>
          <w:p w14:paraId="37B87D66" w14:textId="77777777" w:rsidR="009836DA" w:rsidRPr="00457D68" w:rsidRDefault="009836DA">
            <w:pPr>
              <w:rPr>
                <w:sz w:val="20"/>
                <w:szCs w:val="20"/>
              </w:rPr>
            </w:pPr>
            <w:r w:rsidRPr="00457D68">
              <w:rPr>
                <w:sz w:val="20"/>
                <w:szCs w:val="20"/>
              </w:rPr>
              <w:t>Permit validated submetering/device-level metering where needed and establish minimum measurement, baseline, validation, and audit rules.</w:t>
            </w:r>
          </w:p>
        </w:tc>
      </w:tr>
      <w:tr w:rsidR="009836DA" w:rsidRPr="00B962DE" w14:paraId="656B8206" w14:textId="77777777" w:rsidTr="00CE2521">
        <w:tc>
          <w:tcPr>
            <w:tcW w:w="0" w:type="auto"/>
            <w:hideMark/>
          </w:tcPr>
          <w:p w14:paraId="558E84C8" w14:textId="77777777" w:rsidR="009836DA" w:rsidRPr="00457D68" w:rsidRDefault="009836DA">
            <w:pPr>
              <w:rPr>
                <w:sz w:val="20"/>
                <w:szCs w:val="20"/>
              </w:rPr>
            </w:pPr>
            <w:r w:rsidRPr="00457D68">
              <w:rPr>
                <w:b/>
                <w:sz w:val="20"/>
                <w:szCs w:val="20"/>
              </w:rPr>
              <w:t>Transaction settlement and settlement data</w:t>
            </w:r>
            <w:r w:rsidRPr="00457D68">
              <w:rPr>
                <w:sz w:val="20"/>
                <w:szCs w:val="20"/>
              </w:rPr>
              <w:t xml:space="preserve"> — Calculation, transparency, correction, and payment of VPP compensation</w:t>
            </w:r>
          </w:p>
        </w:tc>
        <w:tc>
          <w:tcPr>
            <w:tcW w:w="1589" w:type="pct"/>
            <w:hideMark/>
          </w:tcPr>
          <w:p w14:paraId="5788C632" w14:textId="77777777" w:rsidR="009836DA" w:rsidRPr="00457D68" w:rsidRDefault="009836DA">
            <w:pPr>
              <w:rPr>
                <w:sz w:val="20"/>
                <w:szCs w:val="20"/>
              </w:rPr>
            </w:pPr>
            <w:r w:rsidRPr="00457D68">
              <w:rPr>
                <w:sz w:val="20"/>
                <w:szCs w:val="20"/>
              </w:rPr>
              <w:t>No identified VPP-specific settlement framework or standards for data access, quality, timing, or corrections.</w:t>
            </w:r>
          </w:p>
        </w:tc>
        <w:tc>
          <w:tcPr>
            <w:tcW w:w="1971" w:type="pct"/>
            <w:hideMark/>
          </w:tcPr>
          <w:p w14:paraId="35284854" w14:textId="77777777" w:rsidR="009836DA" w:rsidRPr="00457D68" w:rsidRDefault="009836DA">
            <w:pPr>
              <w:rPr>
                <w:sz w:val="20"/>
                <w:szCs w:val="20"/>
              </w:rPr>
            </w:pPr>
            <w:r w:rsidRPr="00457D68">
              <w:rPr>
                <w:sz w:val="20"/>
                <w:szCs w:val="20"/>
              </w:rPr>
              <w:t>Standard settlement rules with transparent payment calculations, participant access to supporting data, correction procedures, and data-quality requirements.</w:t>
            </w:r>
          </w:p>
        </w:tc>
      </w:tr>
      <w:tr w:rsidR="009836DA" w:rsidRPr="00B962DE" w14:paraId="411D9A2E" w14:textId="77777777" w:rsidTr="00CE2521">
        <w:tc>
          <w:tcPr>
            <w:tcW w:w="0" w:type="auto"/>
            <w:hideMark/>
          </w:tcPr>
          <w:p w14:paraId="68681344" w14:textId="77777777" w:rsidR="009836DA" w:rsidRPr="00457D68" w:rsidRDefault="009836DA">
            <w:pPr>
              <w:rPr>
                <w:sz w:val="20"/>
                <w:szCs w:val="20"/>
              </w:rPr>
            </w:pPr>
            <w:r w:rsidRPr="00457D68">
              <w:rPr>
                <w:b/>
                <w:sz w:val="20"/>
                <w:szCs w:val="20"/>
              </w:rPr>
              <w:t>Dual participation</w:t>
            </w:r>
            <w:r w:rsidRPr="00457D68">
              <w:rPr>
                <w:sz w:val="20"/>
                <w:szCs w:val="20"/>
              </w:rPr>
              <w:t xml:space="preserve"> — Participation in more than one program or market without double counting or conflicting dispatch</w:t>
            </w:r>
          </w:p>
        </w:tc>
        <w:tc>
          <w:tcPr>
            <w:tcW w:w="1589" w:type="pct"/>
            <w:hideMark/>
          </w:tcPr>
          <w:p w14:paraId="7BB817E7" w14:textId="77777777" w:rsidR="009836DA" w:rsidRPr="00457D68" w:rsidRDefault="009836DA">
            <w:pPr>
              <w:rPr>
                <w:sz w:val="20"/>
                <w:szCs w:val="20"/>
              </w:rPr>
            </w:pPr>
            <w:r w:rsidRPr="00457D68">
              <w:rPr>
                <w:sz w:val="20"/>
                <w:szCs w:val="20"/>
              </w:rPr>
              <w:t>No VPP-specific rules; existing NEM and DSM rules are presumed to apply. Dominion is developing a program/tariff matrix.</w:t>
            </w:r>
          </w:p>
        </w:tc>
        <w:tc>
          <w:tcPr>
            <w:tcW w:w="1971" w:type="pct"/>
            <w:hideMark/>
          </w:tcPr>
          <w:p w14:paraId="6079F0F4" w14:textId="77777777" w:rsidR="009836DA" w:rsidRPr="00457D68" w:rsidRDefault="009836DA">
            <w:pPr>
              <w:rPr>
                <w:sz w:val="20"/>
                <w:szCs w:val="20"/>
              </w:rPr>
            </w:pPr>
            <w:r w:rsidRPr="00457D68">
              <w:rPr>
                <w:sz w:val="20"/>
                <w:szCs w:val="20"/>
              </w:rPr>
              <w:t>For peak-shaving VPPs, require a utility-maintained matrix identifying permitted and prohibited combinations. No additional PJM-focused rule is needed for local-capacity data-center VPPs.</w:t>
            </w:r>
          </w:p>
        </w:tc>
      </w:tr>
      <w:tr w:rsidR="009836DA" w:rsidRPr="00B962DE" w14:paraId="2D038CA4" w14:textId="77777777" w:rsidTr="00CE2521">
        <w:tc>
          <w:tcPr>
            <w:tcW w:w="0" w:type="auto"/>
            <w:hideMark/>
          </w:tcPr>
          <w:p w14:paraId="27B0B2E0" w14:textId="77777777" w:rsidR="009836DA" w:rsidRPr="00457D68" w:rsidRDefault="009836DA">
            <w:pPr>
              <w:rPr>
                <w:sz w:val="20"/>
                <w:szCs w:val="20"/>
              </w:rPr>
            </w:pPr>
            <w:r w:rsidRPr="00457D68">
              <w:rPr>
                <w:b/>
                <w:sz w:val="20"/>
                <w:szCs w:val="20"/>
              </w:rPr>
              <w:t>Cost recovery for VPP infrastructure</w:t>
            </w:r>
            <w:r w:rsidRPr="00457D68">
              <w:rPr>
                <w:sz w:val="20"/>
                <w:szCs w:val="20"/>
              </w:rPr>
              <w:t xml:space="preserve"> — Recovery of prudent utility investment in VPP systems, platforms, and operations</w:t>
            </w:r>
          </w:p>
        </w:tc>
        <w:tc>
          <w:tcPr>
            <w:tcW w:w="1589" w:type="pct"/>
            <w:hideMark/>
          </w:tcPr>
          <w:p w14:paraId="40CAFEE3" w14:textId="77777777" w:rsidR="009836DA" w:rsidRPr="00457D68" w:rsidRDefault="009836DA">
            <w:pPr>
              <w:rPr>
                <w:sz w:val="20"/>
                <w:szCs w:val="20"/>
              </w:rPr>
            </w:pPr>
            <w:r w:rsidRPr="00457D68">
              <w:rPr>
                <w:sz w:val="20"/>
                <w:szCs w:val="20"/>
              </w:rPr>
              <w:t>Addressed program by program through DSM or grid-transformation proceedings.</w:t>
            </w:r>
          </w:p>
        </w:tc>
        <w:tc>
          <w:tcPr>
            <w:tcW w:w="1971" w:type="pct"/>
            <w:hideMark/>
          </w:tcPr>
          <w:p w14:paraId="46A11731" w14:textId="77777777" w:rsidR="009836DA" w:rsidRPr="00457D68" w:rsidRDefault="009836DA">
            <w:pPr>
              <w:rPr>
                <w:sz w:val="20"/>
                <w:szCs w:val="20"/>
              </w:rPr>
            </w:pPr>
            <w:r w:rsidRPr="00457D68">
              <w:rPr>
                <w:sz w:val="20"/>
                <w:szCs w:val="20"/>
              </w:rPr>
              <w:t>Transparent cost-recovery pathway for justified VPP-enabling investments, tied to customer value, performance metrics, and regulatory review.</w:t>
            </w:r>
          </w:p>
        </w:tc>
      </w:tr>
    </w:tbl>
    <w:p w14:paraId="7C37413F" w14:textId="77777777" w:rsidR="009836DA" w:rsidRDefault="009836DA" w:rsidP="009836DA"/>
    <w:p w14:paraId="7E4204FE" w14:textId="2A19F5BE" w:rsidR="0067772B" w:rsidRPr="0041421A" w:rsidRDefault="003330AF" w:rsidP="007B7205">
      <w:r>
        <w:t xml:space="preserve">These policy topics and minimum policy readiness levels represent a preliminary assessment </w:t>
      </w:r>
      <w:r w:rsidR="00FE695E">
        <w:t xml:space="preserve">conducted by EPDI as part of the DER Task Force effort to unlock near-term VPP deployments. These could be further validated and refined through further development of statewide VPP-enabling policies, as noted in </w:t>
      </w:r>
      <w:r w:rsidR="00FE695E" w:rsidRPr="00CE2521">
        <w:rPr>
          <w:i/>
        </w:rPr>
        <w:t>Section 5.1</w:t>
      </w:r>
      <w:r w:rsidR="007C2DD7">
        <w:rPr>
          <w:i/>
        </w:rPr>
        <w:t xml:space="preserve"> (</w:t>
      </w:r>
      <w:r w:rsidR="00FE695E" w:rsidRPr="00CE2521">
        <w:rPr>
          <w:i/>
        </w:rPr>
        <w:t xml:space="preserve">Recommendation </w:t>
      </w:r>
      <w:r w:rsidR="00764DF6">
        <w:rPr>
          <w:i/>
        </w:rPr>
        <w:t>3</w:t>
      </w:r>
      <w:r w:rsidR="00FE695E" w:rsidRPr="00CE2521">
        <w:rPr>
          <w:i/>
        </w:rPr>
        <w:t>: Establish VPP-Enabling Policies</w:t>
      </w:r>
      <w:r w:rsidR="007C2DD7">
        <w:rPr>
          <w:i/>
        </w:rPr>
        <w:t>)</w:t>
      </w:r>
      <w:r w:rsidR="00FE695E">
        <w:t xml:space="preserve">. </w:t>
      </w:r>
      <w:r w:rsidR="00F10966">
        <w:br/>
      </w:r>
    </w:p>
    <w:tbl>
      <w:tblPr>
        <w:tblW w:w="5000" w:type="pct"/>
        <w:tblBorders>
          <w:top w:val="single" w:sz="4" w:space="0" w:color="C6CDD4"/>
          <w:left w:val="single" w:sz="4" w:space="0" w:color="C6CDD4"/>
          <w:bottom w:val="single" w:sz="4" w:space="0" w:color="C6CDD4"/>
          <w:right w:val="single" w:sz="4" w:space="0" w:color="C6CDD4"/>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67772B" w:rsidRPr="0041421A" w14:paraId="23E8EF96" w14:textId="77777777">
        <w:tc>
          <w:tcPr>
            <w:tcW w:w="0" w:type="auto"/>
            <w:shd w:val="clear" w:color="auto" w:fill="E9ECEF"/>
            <w:tcMar>
              <w:top w:w="160" w:type="dxa"/>
              <w:left w:w="200" w:type="dxa"/>
              <w:bottom w:w="160" w:type="dxa"/>
              <w:right w:w="200" w:type="dxa"/>
            </w:tcMar>
          </w:tcPr>
          <w:p w14:paraId="45C67424" w14:textId="77777777" w:rsidR="0067772B" w:rsidRPr="0041421A" w:rsidRDefault="0067772B">
            <w:pPr>
              <w:spacing w:after="80"/>
            </w:pPr>
            <w:r w:rsidRPr="0041421A">
              <w:rPr>
                <w:b/>
                <w:bCs/>
                <w:color w:val="1F3A5F"/>
                <w:sz w:val="19"/>
                <w:szCs w:val="19"/>
              </w:rPr>
              <w:t>TO BE DEVELOPED</w:t>
            </w:r>
          </w:p>
          <w:p w14:paraId="11487624" w14:textId="066874AA" w:rsidR="0067772B" w:rsidRPr="0041421A" w:rsidRDefault="0067772B" w:rsidP="00221A94">
            <w:pPr>
              <w:spacing w:after="80"/>
            </w:pPr>
            <w:r w:rsidRPr="0041421A">
              <w:rPr>
                <w:color w:val="3D4A5C"/>
                <w:sz w:val="20"/>
                <w:szCs w:val="20"/>
              </w:rPr>
              <w:t xml:space="preserve">• </w:t>
            </w:r>
            <w:r>
              <w:rPr>
                <w:color w:val="3D4A5C"/>
                <w:sz w:val="20"/>
                <w:szCs w:val="20"/>
              </w:rPr>
              <w:t xml:space="preserve">Integration of </w:t>
            </w:r>
            <w:r w:rsidR="00221A94">
              <w:rPr>
                <w:color w:val="3D4A5C"/>
                <w:sz w:val="20"/>
                <w:szCs w:val="20"/>
              </w:rPr>
              <w:t xml:space="preserve">VPP Policy Topics to be integrated into integrated roadmap </w:t>
            </w:r>
          </w:p>
        </w:tc>
      </w:tr>
    </w:tbl>
    <w:p w14:paraId="3A3C2349" w14:textId="77777777" w:rsidR="0067772B" w:rsidRDefault="0067772B" w:rsidP="0067772B"/>
    <w:p w14:paraId="72E716BA" w14:textId="77777777" w:rsidR="009836DA" w:rsidRDefault="009836DA" w:rsidP="009836DA"/>
    <w:p w14:paraId="70A96B94" w14:textId="37BFCD96" w:rsidR="00451D1A" w:rsidRDefault="00451D1A" w:rsidP="00160BBE">
      <w:pPr>
        <w:pStyle w:val="Heading2"/>
        <w:spacing w:after="160"/>
        <w:rPr>
          <w:rFonts w:eastAsia="Georgia"/>
          <w:b/>
          <w:bCs/>
          <w:color w:val="1F3A5F"/>
        </w:rPr>
      </w:pPr>
      <w:bookmarkStart w:id="1500" w:name="_Toc2076814943"/>
      <w:bookmarkStart w:id="1501" w:name="_Toc1776884336"/>
      <w:bookmarkStart w:id="1502" w:name="_Toc1469004706"/>
      <w:bookmarkStart w:id="1503" w:name="_Toc1766310088"/>
      <w:bookmarkStart w:id="1504" w:name="_Toc430114940"/>
      <w:bookmarkStart w:id="1505" w:name="_Toc777079534"/>
      <w:bookmarkStart w:id="1506" w:name="_Toc2095883946"/>
      <w:bookmarkStart w:id="1507" w:name="_Toc1611450118"/>
      <w:bookmarkStart w:id="1508" w:name="_Toc1836877437"/>
      <w:bookmarkStart w:id="1509" w:name="_Toc1394864020"/>
      <w:bookmarkStart w:id="1510" w:name="_Toc1459006507"/>
      <w:bookmarkStart w:id="1511" w:name="_Toc58362312"/>
      <w:bookmarkStart w:id="1512" w:name="_Toc713176005"/>
      <w:bookmarkStart w:id="1513" w:name="_Toc1426963322"/>
      <w:bookmarkStart w:id="1514" w:name="_Toc527332611"/>
      <w:bookmarkStart w:id="1515" w:name="_Toc264870843"/>
      <w:bookmarkStart w:id="1516" w:name="_Toc781521783"/>
      <w:bookmarkStart w:id="1517" w:name="_Toc420681777"/>
      <w:bookmarkStart w:id="1518" w:name="_Toc473519921"/>
      <w:bookmarkStart w:id="1519" w:name="_Toc1156747198"/>
      <w:bookmarkStart w:id="1520" w:name="_Toc1524832119"/>
      <w:bookmarkStart w:id="1521" w:name="_Toc892707447"/>
      <w:bookmarkStart w:id="1522" w:name="_Toc436690560"/>
      <w:bookmarkStart w:id="1523" w:name="_Toc1862918865"/>
      <w:bookmarkStart w:id="1524" w:name="_Toc755081264"/>
      <w:bookmarkStart w:id="1525" w:name="_Toc1003097914"/>
      <w:bookmarkStart w:id="1526" w:name="_Toc2129504514"/>
      <w:bookmarkStart w:id="1527" w:name="_Toc2046489830"/>
      <w:bookmarkStart w:id="1528" w:name="_Toc1932901199"/>
      <w:bookmarkStart w:id="1529" w:name="_Toc1312820909"/>
      <w:bookmarkStart w:id="1530" w:name="_Toc1483095115"/>
      <w:bookmarkStart w:id="1531" w:name="_Toc1758982939"/>
      <w:bookmarkStart w:id="1532" w:name="_Toc303862319"/>
      <w:bookmarkStart w:id="1533" w:name="_Toc1812818416"/>
      <w:bookmarkStart w:id="1534" w:name="_Toc1988972263"/>
      <w:bookmarkStart w:id="1535" w:name="_Toc114993096"/>
      <w:bookmarkStart w:id="1536" w:name="_Toc396362337"/>
      <w:bookmarkStart w:id="1537" w:name="_Toc891896998"/>
      <w:bookmarkStart w:id="1538" w:name="_Toc1538243087"/>
      <w:bookmarkStart w:id="1539" w:name="_Toc1190425177"/>
      <w:bookmarkStart w:id="1540" w:name="_Toc714046464"/>
      <w:bookmarkStart w:id="1541" w:name="_Toc1284287575"/>
      <w:bookmarkStart w:id="1542" w:name="_Toc104439081"/>
      <w:bookmarkStart w:id="1543" w:name="_Toc442890163"/>
      <w:bookmarkStart w:id="1544" w:name="_Toc1411399824"/>
      <w:bookmarkStart w:id="1545" w:name="_Toc2146518955"/>
      <w:bookmarkStart w:id="1546" w:name="_Toc393148440"/>
      <w:bookmarkStart w:id="1547" w:name="_Toc626865404"/>
      <w:bookmarkStart w:id="1548" w:name="_Toc196832838"/>
      <w:bookmarkStart w:id="1549" w:name="_Ref239847211"/>
      <w:bookmarkStart w:id="1550" w:name="_Toc239862919"/>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rPr>
          <w:rFonts w:eastAsia="Georgia"/>
          <w:b/>
          <w:bCs/>
          <w:color w:val="1F3A5F"/>
        </w:rPr>
        <w:t>5.</w:t>
      </w:r>
      <w:r w:rsidR="00ED17F1">
        <w:rPr>
          <w:rFonts w:eastAsia="Georgia"/>
          <w:b/>
          <w:bCs/>
          <w:color w:val="1F3A5F"/>
        </w:rPr>
        <w:t>3</w:t>
      </w:r>
      <w:r>
        <w:rPr>
          <w:rFonts w:eastAsia="Georgia"/>
          <w:b/>
          <w:bCs/>
          <w:color w:val="1F3A5F"/>
        </w:rPr>
        <w:t xml:space="preserve"> FERC Order 2222 DER Aggregation Roadmap</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14:paraId="5839CF45" w14:textId="1BF98406" w:rsidR="00FC651C" w:rsidRPr="00F10966" w:rsidRDefault="00FC651C" w:rsidP="00FC651C">
      <w:pPr>
        <w:spacing w:after="200"/>
        <w:jc w:val="both"/>
      </w:pPr>
      <w:commentRangeStart w:id="1551"/>
      <w:r w:rsidRPr="00F10966">
        <w:t xml:space="preserve">HB 285 / SB 223 also requires the Task Force's final report to include a roadmap </w:t>
      </w:r>
      <w:r w:rsidR="009B38D2" w:rsidRPr="00F10966">
        <w:t>to harmonize the Commonwealth’s retail frameworks with PJM’s plan for compliance with FERC Order No. 2222</w:t>
      </w:r>
      <w:r w:rsidR="00A86059" w:rsidRPr="00F10966">
        <w:t xml:space="preserve">, including to support SCC action by February 1, 2027. </w:t>
      </w:r>
      <w:commentRangeEnd w:id="1551"/>
      <w:r w:rsidR="00F10966" w:rsidRPr="00F10966">
        <w:rPr>
          <w:rStyle w:val="CommentReference"/>
          <w:sz w:val="22"/>
          <w:szCs w:val="22"/>
        </w:rPr>
        <w:commentReference w:id="1551"/>
      </w:r>
    </w:p>
    <w:p w14:paraId="27583F57" w14:textId="3875767E" w:rsidR="00512AB6" w:rsidRPr="00F10966" w:rsidRDefault="00512AB6" w:rsidP="00512AB6">
      <w:r w:rsidRPr="00F10966">
        <w:t xml:space="preserve">PJM’s implementation of FERC Order No. 2222 will occur through its DER Aggregator Participation Model, which allows a DER aggregator to combine eligible individual resources and participate in PJM wholesale markets as a supply-side resource. FERC regulates PJM’s wholesale-market tariffs, participation rules, and performance requirements; aggregators participating under this model are wholesale-market participants. The purpose is to allow collections of smaller DERs that could not efficiently participate individually to provide capacity, energy, and, over time, other wholesale grid services. </w:t>
      </w:r>
    </w:p>
    <w:p w14:paraId="7F82A1BA" w14:textId="77777777" w:rsidR="00512AB6" w:rsidRPr="00F10966" w:rsidRDefault="00512AB6" w:rsidP="00512AB6">
      <w:pPr>
        <w:spacing w:after="200"/>
        <w:jc w:val="both"/>
      </w:pPr>
      <w:r w:rsidRPr="00F10966">
        <w:br/>
        <w:t xml:space="preserve">PJM’s market rules alone, however, cannot enable DER aggregation in Virginia. FERC explicitly leaves several DER aggregation rules to the SCC (e.g., interconnection, customer data access). The SCC and Virginia EDCs retain authority over retail and distribution-system matters, including interconnection, customer-data access, and EDC review of proposed DER aggregations for distribution-system safety and reliability. </w:t>
      </w:r>
    </w:p>
    <w:p w14:paraId="51835474" w14:textId="3FA1424A" w:rsidR="00512AB6" w:rsidRPr="00F10966" w:rsidRDefault="00512AB6" w:rsidP="00512AB6">
      <w:r w:rsidRPr="00F10966">
        <w:t xml:space="preserve">Order No. 2222 does not create a VPP program, set a payment level, or require every DER to participate in wholesale markets. Rather, it requires PJM and other RTOs/ISOs to create a participation pathway for eligible DER aggregations. The Order also recognizes that state and local authorities retain jurisdiction over the retail-level and distribution-system matters that affect DER participation. As a result, successful implementation requires coordination among three distinct parties, as shown in Figure </w:t>
      </w:r>
      <w:r w:rsidR="00025142" w:rsidRPr="00F10966">
        <w:t>6</w:t>
      </w:r>
      <w:r w:rsidRPr="00F10966">
        <w:t xml:space="preserve">. </w:t>
      </w:r>
    </w:p>
    <w:p w14:paraId="364BD7F5" w14:textId="77777777" w:rsidR="00512AB6" w:rsidRPr="00F10966" w:rsidRDefault="00512AB6" w:rsidP="00512AB6">
      <w:pPr>
        <w:pStyle w:val="ListParagraph"/>
        <w:numPr>
          <w:ilvl w:val="0"/>
          <w:numId w:val="50"/>
        </w:numPr>
      </w:pPr>
      <w:r w:rsidRPr="00F10966">
        <w:rPr>
          <w:b/>
        </w:rPr>
        <w:t xml:space="preserve">FERC and PJM: </w:t>
      </w:r>
      <w:r w:rsidRPr="00F10966">
        <w:t>Establish the wholesale-market participation model, eligibility requirements, market rules, bidding rules, and performance obligations for DER aggregations</w:t>
      </w:r>
    </w:p>
    <w:p w14:paraId="16A8A879" w14:textId="77777777" w:rsidR="00512AB6" w:rsidRPr="00F10966" w:rsidRDefault="00512AB6" w:rsidP="00512AB6">
      <w:pPr>
        <w:pStyle w:val="ListParagraph"/>
        <w:numPr>
          <w:ilvl w:val="0"/>
          <w:numId w:val="50"/>
        </w:numPr>
      </w:pPr>
      <w:r w:rsidRPr="00F10966">
        <w:rPr>
          <w:b/>
        </w:rPr>
        <w:t xml:space="preserve">Virginia SCC and state policymakers: </w:t>
      </w:r>
      <w:r w:rsidRPr="00F10966">
        <w:t>Ensure that state retail, interconnection, consumer-protection, and utility-regulatory frameworks do not unnecessarily prevent or conflict with wholesale DER aggregation</w:t>
      </w:r>
    </w:p>
    <w:p w14:paraId="5F53F4F5" w14:textId="77777777" w:rsidR="00512AB6" w:rsidRPr="00F10966" w:rsidRDefault="00512AB6" w:rsidP="00512AB6">
      <w:pPr>
        <w:pStyle w:val="ListParagraph"/>
        <w:numPr>
          <w:ilvl w:val="0"/>
          <w:numId w:val="50"/>
        </w:numPr>
      </w:pPr>
      <w:r w:rsidRPr="00F10966">
        <w:rPr>
          <w:b/>
        </w:rPr>
        <w:t xml:space="preserve">Virginia EDCs and DER aggregators: </w:t>
      </w:r>
      <w:r w:rsidRPr="00F10966">
        <w:t>Establish practical processes for registration, information exchange, distribution-system review, operational coordination, dispatch communications, data access, and conflict resolution</w:t>
      </w:r>
    </w:p>
    <w:p w14:paraId="32E95464" w14:textId="77777777" w:rsidR="00512AB6" w:rsidRPr="00F10966" w:rsidRDefault="00512AB6" w:rsidP="00512AB6"/>
    <w:p w14:paraId="3C573DB2" w14:textId="77777777" w:rsidR="00512AB6" w:rsidRPr="00F10966" w:rsidRDefault="00512AB6" w:rsidP="00512AB6">
      <w:r w:rsidRPr="00F10966">
        <w:rPr>
          <w:noProof/>
        </w:rPr>
        <w:drawing>
          <wp:inline distT="0" distB="0" distL="0" distR="0" wp14:anchorId="197C64CD" wp14:editId="1A08DC18">
            <wp:extent cx="3194959" cy="3071004"/>
            <wp:effectExtent l="0" t="0" r="5715" b="0"/>
            <wp:docPr id="19227744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1610" cy="3077397"/>
                    </a:xfrm>
                    <a:prstGeom prst="rect">
                      <a:avLst/>
                    </a:prstGeom>
                    <a:noFill/>
                  </pic:spPr>
                </pic:pic>
              </a:graphicData>
            </a:graphic>
          </wp:inline>
        </w:drawing>
      </w:r>
    </w:p>
    <w:p w14:paraId="1D76AAC3" w14:textId="4260765B" w:rsidR="00FE29DE" w:rsidRPr="00F10966" w:rsidRDefault="00FE29DE" w:rsidP="00CE2521">
      <w:pPr>
        <w:spacing w:after="240"/>
        <w:jc w:val="center"/>
      </w:pPr>
      <w:r w:rsidRPr="00F10966">
        <w:rPr>
          <w:i/>
          <w:color w:val="595959" w:themeColor="text1" w:themeTint="A6"/>
          <w:highlight w:val="yellow"/>
        </w:rPr>
        <w:t xml:space="preserve">Figure </w:t>
      </w:r>
      <w:r w:rsidR="005B4470" w:rsidRPr="00F10966">
        <w:rPr>
          <w:i/>
          <w:color w:val="595959" w:themeColor="text1" w:themeTint="A6"/>
          <w:highlight w:val="yellow"/>
        </w:rPr>
        <w:t>5</w:t>
      </w:r>
      <w:r w:rsidRPr="00F10966">
        <w:rPr>
          <w:i/>
          <w:color w:val="595959" w:themeColor="text1" w:themeTint="A6"/>
          <w:highlight w:val="yellow"/>
        </w:rPr>
        <w:t>: PJM Graphic, to be named</w:t>
      </w:r>
    </w:p>
    <w:p w14:paraId="79E6A66F" w14:textId="77777777" w:rsidR="00512AB6" w:rsidRPr="00F10966" w:rsidRDefault="00512AB6" w:rsidP="00512AB6"/>
    <w:p w14:paraId="208BE930" w14:textId="77777777" w:rsidR="00512AB6" w:rsidRPr="00F10966" w:rsidRDefault="00512AB6" w:rsidP="00512AB6">
      <w:pPr>
        <w:spacing w:after="200"/>
        <w:jc w:val="both"/>
      </w:pPr>
      <w:r w:rsidRPr="00F10966">
        <w:t>Virginia policies and regulations play an important role in enabling DER aggregations to participate in PJM wholesale markets under FERC Order 2222. While Virginia cannot resolve issues within PJM’s jurisdiction, Virginia can establish the state-level framework needed to make future PJM participation practical for Virginia-connected DERs. This can include supportive state-level procedures for registration, data sharing, EDC–aggregator coordination, dual participation, dispatch override, and dispute resolution. Without these rules, aggregators will face uncertainty and practical barriers even when PJM permits participation.</w:t>
      </w:r>
    </w:p>
    <w:p w14:paraId="327D8977" w14:textId="77777777" w:rsidR="00512AB6" w:rsidRPr="00F10966" w:rsidRDefault="00512AB6" w:rsidP="00512AB6">
      <w:pPr>
        <w:spacing w:after="200"/>
        <w:jc w:val="both"/>
      </w:pPr>
      <w:r w:rsidRPr="00F10966">
        <w:t xml:space="preserve">Beyond alignment with harmonizing Virginia’s rules with FERC 2222 compliance per the statute’s Task Force, this work is directly relevant to enabling the third priority VPP type of aggregated behind-the-meter storage participating in PJM capacity markets as discussed in Section XX. </w:t>
      </w:r>
    </w:p>
    <w:p w14:paraId="0B271C43" w14:textId="469E1A20" w:rsidR="00512AB6" w:rsidRPr="00F10966" w:rsidRDefault="00512AB6" w:rsidP="00512AB6">
      <w:pPr>
        <w:spacing w:after="200"/>
        <w:jc w:val="both"/>
      </w:pPr>
      <w:r w:rsidRPr="00F10966">
        <w:t xml:space="preserve">Virginia (SCC, utilities) must establish supportive policies and programs in order to unlock one of Virginia’s priority VPP types </w:t>
      </w:r>
      <w:r w:rsidRPr="00F10966">
        <w:rPr>
          <w:u w:val="single"/>
        </w:rPr>
        <w:t>and</w:t>
      </w:r>
      <w:r w:rsidRPr="00F10966">
        <w:t xml:space="preserve"> to enable DERs to participate in PJM effectively under Order 2222 (providing services beyond traditional demand response).  </w:t>
      </w:r>
    </w:p>
    <w:p w14:paraId="7673DBF3" w14:textId="77777777" w:rsidR="00512AB6" w:rsidRPr="00F10966" w:rsidRDefault="00512AB6" w:rsidP="00512AB6">
      <w:r w:rsidRPr="00F10966">
        <w:t xml:space="preserve">Following the same process for identifying critical policy topics and evaluating the current state and minimum viable policies as laid out in Section XX, six state and utility-level policies were identified by EPDI as Tier 1 policy topics. These six policy topics are where actions need to be accomplished prior to full PJM implementation of FERC Order 2222 and are not dependent on PJM.  These are listed below in Table XX, along with a minimum set of specific policies and actions so Virginia can be prepared for the participation of DER aggregations in PJM markets.  </w:t>
      </w:r>
    </w:p>
    <w:p w14:paraId="55CA0086" w14:textId="77777777" w:rsidR="00512AB6" w:rsidRPr="00F10966" w:rsidRDefault="00512AB6" w:rsidP="00512AB6"/>
    <w:p w14:paraId="4182E946" w14:textId="2878D8F7" w:rsidR="00512AB6" w:rsidRPr="00F10966" w:rsidRDefault="00512AB6" w:rsidP="00512AB6">
      <w:r w:rsidRPr="00F10966">
        <w:t xml:space="preserve">Overall, significant work on Implementing FERC Order No. 2222 in Virginia is in early stages. The SCC has not initiated any proceedings on FERC Order 2222 topics, with most compliance implementation currently up to Virginia utilities individually. Dominion, for example, has noted that they will have procedures in place by November 2027. Information on these procedures is not yet publicly available. In addition, the Virginia utilities are awaiting final market and operational rules from PJM. </w:t>
      </w:r>
    </w:p>
    <w:p w14:paraId="563BFF0A" w14:textId="77777777" w:rsidR="00512AB6" w:rsidRPr="00F10966" w:rsidRDefault="00512AB6" w:rsidP="00512AB6"/>
    <w:p w14:paraId="56B40FF4" w14:textId="68706527" w:rsidR="00512AB6" w:rsidRPr="00F10966" w:rsidRDefault="00512AB6" w:rsidP="00512AB6">
      <w:pPr>
        <w:jc w:val="center"/>
        <w:rPr>
          <w:b/>
        </w:rPr>
      </w:pPr>
      <w:r w:rsidRPr="00F10966">
        <w:rPr>
          <w:b/>
        </w:rPr>
        <w:t xml:space="preserve">Table </w:t>
      </w:r>
      <w:r w:rsidR="005B4470" w:rsidRPr="00F10966">
        <w:rPr>
          <w:b/>
        </w:rPr>
        <w:t>3</w:t>
      </w:r>
      <w:r w:rsidRPr="00F10966">
        <w:rPr>
          <w:b/>
        </w:rPr>
        <w:t>: Summary of Policy Topics required for FERC 2222 compliance, current state assessment across these, and minimum viable next step for Virginia to align with FERC 2222 requirements</w:t>
      </w:r>
    </w:p>
    <w:p w14:paraId="54D4DE01" w14:textId="77777777" w:rsidR="00512AB6" w:rsidRPr="00F10966" w:rsidRDefault="00512AB6" w:rsidP="00512AB6"/>
    <w:tbl>
      <w:tblPr>
        <w:tblStyle w:val="TableGrid"/>
        <w:tblW w:w="5000" w:type="pct"/>
        <w:tblLook w:val="04A0" w:firstRow="1" w:lastRow="0" w:firstColumn="1" w:lastColumn="0" w:noHBand="0" w:noVBand="1"/>
      </w:tblPr>
      <w:tblGrid>
        <w:gridCol w:w="3235"/>
        <w:gridCol w:w="2880"/>
        <w:gridCol w:w="3235"/>
      </w:tblGrid>
      <w:tr w:rsidR="00512AB6" w:rsidRPr="00F10966" w14:paraId="2A7F80B3" w14:textId="77777777" w:rsidTr="00CE2521">
        <w:tc>
          <w:tcPr>
            <w:tcW w:w="1730" w:type="pct"/>
            <w:hideMark/>
          </w:tcPr>
          <w:p w14:paraId="0555A874" w14:textId="3F284B88" w:rsidR="00512AB6" w:rsidRPr="00457D68" w:rsidRDefault="00512AB6">
            <w:pPr>
              <w:rPr>
                <w:b/>
                <w:sz w:val="20"/>
                <w:szCs w:val="20"/>
              </w:rPr>
            </w:pPr>
            <w:r w:rsidRPr="00457D68">
              <w:rPr>
                <w:b/>
                <w:sz w:val="20"/>
                <w:szCs w:val="20"/>
              </w:rPr>
              <w:t xml:space="preserve">Policy Topic and description </w:t>
            </w:r>
          </w:p>
        </w:tc>
        <w:tc>
          <w:tcPr>
            <w:tcW w:w="1540" w:type="pct"/>
            <w:hideMark/>
          </w:tcPr>
          <w:p w14:paraId="422C26AF" w14:textId="77777777" w:rsidR="00512AB6" w:rsidRPr="00457D68" w:rsidRDefault="00512AB6">
            <w:pPr>
              <w:rPr>
                <w:b/>
                <w:sz w:val="20"/>
                <w:szCs w:val="20"/>
              </w:rPr>
            </w:pPr>
            <w:r w:rsidRPr="00457D68">
              <w:rPr>
                <w:b/>
                <w:sz w:val="20"/>
                <w:szCs w:val="20"/>
              </w:rPr>
              <w:t>Current state</w:t>
            </w:r>
          </w:p>
        </w:tc>
        <w:tc>
          <w:tcPr>
            <w:tcW w:w="1730" w:type="pct"/>
            <w:hideMark/>
          </w:tcPr>
          <w:p w14:paraId="32D4D86C" w14:textId="77777777" w:rsidR="00512AB6" w:rsidRPr="00457D68" w:rsidRDefault="00512AB6">
            <w:pPr>
              <w:rPr>
                <w:b/>
                <w:sz w:val="20"/>
                <w:szCs w:val="20"/>
              </w:rPr>
            </w:pPr>
            <w:r w:rsidRPr="00457D68">
              <w:rPr>
                <w:b/>
                <w:sz w:val="20"/>
                <w:szCs w:val="20"/>
              </w:rPr>
              <w:t>Minimum viable next step</w:t>
            </w:r>
          </w:p>
        </w:tc>
      </w:tr>
      <w:tr w:rsidR="00512AB6" w:rsidRPr="00F10966" w14:paraId="72171F5D" w14:textId="77777777" w:rsidTr="00CE2521">
        <w:tc>
          <w:tcPr>
            <w:tcW w:w="1730" w:type="pct"/>
            <w:hideMark/>
          </w:tcPr>
          <w:p w14:paraId="78792838" w14:textId="77777777" w:rsidR="00512AB6" w:rsidRPr="00457D68" w:rsidRDefault="00512AB6">
            <w:pPr>
              <w:rPr>
                <w:sz w:val="20"/>
                <w:szCs w:val="20"/>
              </w:rPr>
            </w:pPr>
            <w:r w:rsidRPr="00457D68">
              <w:rPr>
                <w:b/>
                <w:sz w:val="20"/>
                <w:szCs w:val="20"/>
              </w:rPr>
              <w:t>Dispute resolution</w:t>
            </w:r>
            <w:r w:rsidRPr="00457D68">
              <w:rPr>
                <w:sz w:val="20"/>
                <w:szCs w:val="20"/>
              </w:rPr>
              <w:t xml:space="preserve"> — State-level process for resolving disagreements over DERA registration, reliability findings, coordination, dispatch overrides, and participation requirements</w:t>
            </w:r>
          </w:p>
        </w:tc>
        <w:tc>
          <w:tcPr>
            <w:tcW w:w="1540" w:type="pct"/>
            <w:hideMark/>
          </w:tcPr>
          <w:p w14:paraId="5B08DA56" w14:textId="07E6650B" w:rsidR="00512AB6" w:rsidRPr="00457D68" w:rsidRDefault="00512AB6">
            <w:pPr>
              <w:rPr>
                <w:sz w:val="20"/>
                <w:szCs w:val="20"/>
              </w:rPr>
            </w:pPr>
            <w:r w:rsidRPr="00457D68">
              <w:rPr>
                <w:sz w:val="20"/>
                <w:szCs w:val="20"/>
              </w:rPr>
              <w:t xml:space="preserve">No regulations have been defined around </w:t>
            </w:r>
            <w:r w:rsidR="003A0927" w:rsidRPr="00457D68">
              <w:rPr>
                <w:sz w:val="20"/>
                <w:szCs w:val="20"/>
              </w:rPr>
              <w:t xml:space="preserve">Order 2222 </w:t>
            </w:r>
            <w:r w:rsidRPr="00457D68">
              <w:rPr>
                <w:sz w:val="20"/>
                <w:szCs w:val="20"/>
              </w:rPr>
              <w:t>dispute resolution. Dominion is identifying potential dispute pathways as part of its pilot</w:t>
            </w:r>
            <w:r w:rsidR="003A4C25" w:rsidRPr="00457D68">
              <w:rPr>
                <w:sz w:val="20"/>
                <w:szCs w:val="20"/>
              </w:rPr>
              <w:t>.</w:t>
            </w:r>
            <w:r w:rsidRPr="00457D68">
              <w:rPr>
                <w:sz w:val="20"/>
                <w:szCs w:val="20"/>
              </w:rPr>
              <w:t xml:space="preserve"> Existing SCC processes, interconnection-dispute procedures, and the dispute provisions under development for Dominion’s BYOD aggregator program offer useful starting points.</w:t>
            </w:r>
          </w:p>
        </w:tc>
        <w:tc>
          <w:tcPr>
            <w:tcW w:w="1730" w:type="pct"/>
            <w:hideMark/>
          </w:tcPr>
          <w:p w14:paraId="7DAD07F4" w14:textId="77777777" w:rsidR="00512AB6" w:rsidRPr="00457D68" w:rsidRDefault="00512AB6">
            <w:pPr>
              <w:rPr>
                <w:sz w:val="20"/>
                <w:szCs w:val="20"/>
              </w:rPr>
            </w:pPr>
            <w:r w:rsidRPr="00457D68">
              <w:rPr>
                <w:sz w:val="20"/>
                <w:szCs w:val="20"/>
              </w:rPr>
              <w:t>Build on existing procedures and consider a targeted SCC process for new Order 2222 disputes, especially overrides and operational coordination.</w:t>
            </w:r>
          </w:p>
        </w:tc>
      </w:tr>
      <w:tr w:rsidR="00512AB6" w:rsidRPr="00F10966" w14:paraId="64CF668D" w14:textId="77777777" w:rsidTr="00CE2521">
        <w:tc>
          <w:tcPr>
            <w:tcW w:w="1730" w:type="pct"/>
            <w:hideMark/>
          </w:tcPr>
          <w:p w14:paraId="7C1B1935" w14:textId="77777777" w:rsidR="00512AB6" w:rsidRPr="00457D68" w:rsidRDefault="00512AB6">
            <w:pPr>
              <w:rPr>
                <w:sz w:val="20"/>
                <w:szCs w:val="20"/>
              </w:rPr>
            </w:pPr>
            <w:r w:rsidRPr="00457D68">
              <w:rPr>
                <w:b/>
                <w:sz w:val="20"/>
                <w:szCs w:val="20"/>
              </w:rPr>
              <w:t>Interconnection</w:t>
            </w:r>
            <w:r w:rsidRPr="00457D68">
              <w:rPr>
                <w:sz w:val="20"/>
                <w:szCs w:val="20"/>
              </w:rPr>
              <w:t xml:space="preserve"> — Ensures export-capable DERs have interconnection rights and technical approval to provide PJM wholesale services through a DERA</w:t>
            </w:r>
          </w:p>
        </w:tc>
        <w:tc>
          <w:tcPr>
            <w:tcW w:w="1540" w:type="pct"/>
            <w:hideMark/>
          </w:tcPr>
          <w:p w14:paraId="36A31225" w14:textId="77777777" w:rsidR="00512AB6" w:rsidRPr="00457D68" w:rsidRDefault="00512AB6">
            <w:pPr>
              <w:rPr>
                <w:sz w:val="20"/>
                <w:szCs w:val="20"/>
              </w:rPr>
            </w:pPr>
            <w:r w:rsidRPr="00457D68">
              <w:rPr>
                <w:sz w:val="20"/>
                <w:szCs w:val="20"/>
              </w:rPr>
              <w:t>Separate workstream; existing interconnection agreements are the starting point for export-capable DER participation.</w:t>
            </w:r>
          </w:p>
        </w:tc>
        <w:tc>
          <w:tcPr>
            <w:tcW w:w="1730" w:type="pct"/>
            <w:hideMark/>
          </w:tcPr>
          <w:p w14:paraId="28FBF414" w14:textId="77777777" w:rsidR="00512AB6" w:rsidRPr="00457D68" w:rsidRDefault="00512AB6">
            <w:pPr>
              <w:rPr>
                <w:sz w:val="20"/>
                <w:szCs w:val="20"/>
              </w:rPr>
            </w:pPr>
            <w:r w:rsidRPr="00457D68">
              <w:rPr>
                <w:sz w:val="20"/>
                <w:szCs w:val="20"/>
              </w:rPr>
              <w:t>Confirm that injecting DERs have agreements that permit export and the PJM services they seek to provide.</w:t>
            </w:r>
          </w:p>
        </w:tc>
      </w:tr>
      <w:tr w:rsidR="00512AB6" w:rsidRPr="00F10966" w14:paraId="56D214AC" w14:textId="77777777" w:rsidTr="00CE2521">
        <w:tc>
          <w:tcPr>
            <w:tcW w:w="1730" w:type="pct"/>
            <w:hideMark/>
          </w:tcPr>
          <w:p w14:paraId="039E0D69" w14:textId="77777777" w:rsidR="00512AB6" w:rsidRPr="00457D68" w:rsidRDefault="00512AB6">
            <w:pPr>
              <w:rPr>
                <w:sz w:val="20"/>
                <w:szCs w:val="20"/>
              </w:rPr>
            </w:pPr>
            <w:r w:rsidRPr="00457D68">
              <w:rPr>
                <w:b/>
                <w:sz w:val="20"/>
                <w:szCs w:val="20"/>
              </w:rPr>
              <w:t>DERA registration and EDC review</w:t>
            </w:r>
            <w:r w:rsidRPr="00457D68">
              <w:rPr>
                <w:sz w:val="20"/>
                <w:szCs w:val="20"/>
              </w:rPr>
              <w:t xml:space="preserve"> — EDC review of individual DERs seeking to join a PJM DER aggregation, including capability, safety, and reliability considerations</w:t>
            </w:r>
          </w:p>
        </w:tc>
        <w:tc>
          <w:tcPr>
            <w:tcW w:w="1540" w:type="pct"/>
            <w:hideMark/>
          </w:tcPr>
          <w:p w14:paraId="617534FB" w14:textId="77777777" w:rsidR="00512AB6" w:rsidRPr="00457D68" w:rsidRDefault="00512AB6">
            <w:pPr>
              <w:rPr>
                <w:sz w:val="20"/>
                <w:szCs w:val="20"/>
              </w:rPr>
            </w:pPr>
            <w:r w:rsidRPr="00457D68">
              <w:rPr>
                <w:sz w:val="20"/>
                <w:szCs w:val="20"/>
              </w:rPr>
              <w:t>Dominion is developing processes for PJM’s 15-day capability and 45-day safety/reliability reviews.</w:t>
            </w:r>
          </w:p>
        </w:tc>
        <w:tc>
          <w:tcPr>
            <w:tcW w:w="1730" w:type="pct"/>
            <w:hideMark/>
          </w:tcPr>
          <w:p w14:paraId="687E7818" w14:textId="77777777" w:rsidR="00512AB6" w:rsidRPr="00457D68" w:rsidRDefault="00512AB6">
            <w:pPr>
              <w:rPr>
                <w:sz w:val="20"/>
                <w:szCs w:val="20"/>
              </w:rPr>
            </w:pPr>
            <w:r w:rsidRPr="00457D68">
              <w:rPr>
                <w:sz w:val="20"/>
                <w:szCs w:val="20"/>
              </w:rPr>
              <w:t>Set transparent review criteria and procedures consistent with the FERC/PJM 60-day maximum timeline.</w:t>
            </w:r>
          </w:p>
        </w:tc>
      </w:tr>
      <w:tr w:rsidR="00512AB6" w:rsidRPr="00F10966" w14:paraId="04400943" w14:textId="77777777" w:rsidTr="00CE2521">
        <w:tc>
          <w:tcPr>
            <w:tcW w:w="1730" w:type="pct"/>
            <w:hideMark/>
          </w:tcPr>
          <w:p w14:paraId="546FF029" w14:textId="77777777" w:rsidR="00512AB6" w:rsidRPr="00457D68" w:rsidRDefault="00512AB6">
            <w:pPr>
              <w:rPr>
                <w:sz w:val="20"/>
                <w:szCs w:val="20"/>
              </w:rPr>
            </w:pPr>
            <w:r w:rsidRPr="00457D68">
              <w:rPr>
                <w:b/>
                <w:sz w:val="20"/>
                <w:szCs w:val="20"/>
              </w:rPr>
              <w:t>Operational coordination</w:t>
            </w:r>
            <w:r w:rsidRPr="00457D68">
              <w:rPr>
                <w:sz w:val="20"/>
                <w:szCs w:val="20"/>
              </w:rPr>
              <w:t xml:space="preserve"> — Operating-day communication and information sharing among EDCs, DER aggregators, and PJM when distribution conditions affect DER availability or output</w:t>
            </w:r>
          </w:p>
        </w:tc>
        <w:tc>
          <w:tcPr>
            <w:tcW w:w="1540" w:type="pct"/>
            <w:hideMark/>
          </w:tcPr>
          <w:p w14:paraId="655D4164" w14:textId="77777777" w:rsidR="00512AB6" w:rsidRPr="00457D68" w:rsidRDefault="00512AB6">
            <w:pPr>
              <w:rPr>
                <w:sz w:val="20"/>
                <w:szCs w:val="20"/>
              </w:rPr>
            </w:pPr>
            <w:r w:rsidRPr="00457D68">
              <w:rPr>
                <w:sz w:val="20"/>
                <w:szCs w:val="20"/>
              </w:rPr>
              <w:t>Dominion is developing coordination processes and has identified potential value in rulemaking.</w:t>
            </w:r>
          </w:p>
        </w:tc>
        <w:tc>
          <w:tcPr>
            <w:tcW w:w="1730" w:type="pct"/>
            <w:hideMark/>
          </w:tcPr>
          <w:p w14:paraId="45A273C4" w14:textId="77777777" w:rsidR="00512AB6" w:rsidRPr="00457D68" w:rsidRDefault="00512AB6">
            <w:pPr>
              <w:rPr>
                <w:sz w:val="20"/>
                <w:szCs w:val="20"/>
              </w:rPr>
            </w:pPr>
            <w:r w:rsidRPr="00457D68">
              <w:rPr>
                <w:sz w:val="20"/>
                <w:szCs w:val="20"/>
              </w:rPr>
              <w:t>Begin an SCC-led process on real-time communications, notification timing, operational workstreams, and documentation.</w:t>
            </w:r>
          </w:p>
        </w:tc>
      </w:tr>
      <w:tr w:rsidR="00512AB6" w:rsidRPr="00F10966" w14:paraId="16C03F11" w14:textId="77777777" w:rsidTr="00CE2521">
        <w:tc>
          <w:tcPr>
            <w:tcW w:w="1730" w:type="pct"/>
            <w:hideMark/>
          </w:tcPr>
          <w:p w14:paraId="27B007C3" w14:textId="77777777" w:rsidR="00512AB6" w:rsidRPr="00457D68" w:rsidRDefault="00512AB6">
            <w:pPr>
              <w:rPr>
                <w:sz w:val="20"/>
                <w:szCs w:val="20"/>
              </w:rPr>
            </w:pPr>
            <w:r w:rsidRPr="00457D68">
              <w:rPr>
                <w:b/>
                <w:sz w:val="20"/>
                <w:szCs w:val="20"/>
              </w:rPr>
              <w:t>Dispatch override</w:t>
            </w:r>
            <w:r w:rsidRPr="00457D68">
              <w:rPr>
                <w:sz w:val="20"/>
                <w:szCs w:val="20"/>
              </w:rPr>
              <w:t xml:space="preserve"> — EDC authority and procedures to curtail or override DER/DERA dispatch when necessary for distribution-system safety or reliability</w:t>
            </w:r>
          </w:p>
        </w:tc>
        <w:tc>
          <w:tcPr>
            <w:tcW w:w="1540" w:type="pct"/>
            <w:hideMark/>
          </w:tcPr>
          <w:p w14:paraId="27269510" w14:textId="77777777" w:rsidR="00512AB6" w:rsidRPr="00457D68" w:rsidRDefault="00512AB6">
            <w:pPr>
              <w:rPr>
                <w:sz w:val="20"/>
                <w:szCs w:val="20"/>
              </w:rPr>
            </w:pPr>
            <w:r w:rsidRPr="00457D68">
              <w:rPr>
                <w:sz w:val="20"/>
                <w:szCs w:val="20"/>
              </w:rPr>
              <w:t>Dominion is developing override procedures and is open to SCC discussion of communications protocols.</w:t>
            </w:r>
          </w:p>
        </w:tc>
        <w:tc>
          <w:tcPr>
            <w:tcW w:w="1730" w:type="pct"/>
            <w:hideMark/>
          </w:tcPr>
          <w:p w14:paraId="0E315CC2" w14:textId="77777777" w:rsidR="00512AB6" w:rsidRPr="00457D68" w:rsidRDefault="00512AB6">
            <w:pPr>
              <w:rPr>
                <w:sz w:val="20"/>
                <w:szCs w:val="20"/>
              </w:rPr>
            </w:pPr>
            <w:r w:rsidRPr="00457D68">
              <w:rPr>
                <w:sz w:val="20"/>
                <w:szCs w:val="20"/>
              </w:rPr>
              <w:t>Allow reliability-based overrides under uniform criteria, with timely notice, clear documentation, and dispute-resolution backstop.</w:t>
            </w:r>
          </w:p>
        </w:tc>
      </w:tr>
      <w:tr w:rsidR="00512AB6" w:rsidRPr="00F10966" w14:paraId="27C97C7B" w14:textId="77777777" w:rsidTr="00CE2521">
        <w:tc>
          <w:tcPr>
            <w:tcW w:w="1730" w:type="pct"/>
            <w:hideMark/>
          </w:tcPr>
          <w:p w14:paraId="684038AE" w14:textId="77777777" w:rsidR="00512AB6" w:rsidRPr="00457D68" w:rsidRDefault="00512AB6">
            <w:pPr>
              <w:rPr>
                <w:sz w:val="20"/>
                <w:szCs w:val="20"/>
              </w:rPr>
            </w:pPr>
            <w:r w:rsidRPr="00457D68">
              <w:rPr>
                <w:b/>
                <w:sz w:val="20"/>
                <w:szCs w:val="20"/>
              </w:rPr>
              <w:t>Dual participation</w:t>
            </w:r>
            <w:r w:rsidRPr="00457D68">
              <w:rPr>
                <w:sz w:val="20"/>
                <w:szCs w:val="20"/>
              </w:rPr>
              <w:t xml:space="preserve"> — Rules for DER participation in retail programs and PJM markets without double counting the same or similar grid service</w:t>
            </w:r>
          </w:p>
        </w:tc>
        <w:tc>
          <w:tcPr>
            <w:tcW w:w="1540" w:type="pct"/>
            <w:hideMark/>
          </w:tcPr>
          <w:p w14:paraId="02CB4C52" w14:textId="77777777" w:rsidR="00512AB6" w:rsidRPr="00457D68" w:rsidRDefault="00512AB6">
            <w:pPr>
              <w:rPr>
                <w:sz w:val="20"/>
                <w:szCs w:val="20"/>
              </w:rPr>
            </w:pPr>
            <w:r w:rsidRPr="00457D68">
              <w:rPr>
                <w:sz w:val="20"/>
                <w:szCs w:val="20"/>
              </w:rPr>
              <w:t>Dominion is developing a DER Registry rules engine and matrix to identify potential program conflicts.</w:t>
            </w:r>
          </w:p>
        </w:tc>
        <w:tc>
          <w:tcPr>
            <w:tcW w:w="1730" w:type="pct"/>
            <w:hideMark/>
          </w:tcPr>
          <w:p w14:paraId="4C3BA8D9" w14:textId="77777777" w:rsidR="00512AB6" w:rsidRPr="00457D68" w:rsidRDefault="00512AB6">
            <w:pPr>
              <w:rPr>
                <w:sz w:val="20"/>
                <w:szCs w:val="20"/>
              </w:rPr>
            </w:pPr>
            <w:r w:rsidRPr="00457D68">
              <w:rPr>
                <w:sz w:val="20"/>
                <w:szCs w:val="20"/>
              </w:rPr>
              <w:t>Establish a statewide participation matrix focused on preventing double counting of the same or similar service; separately assess NEM participation in PJM ancillary services.</w:t>
            </w:r>
          </w:p>
        </w:tc>
      </w:tr>
    </w:tbl>
    <w:p w14:paraId="77B93786" w14:textId="77777777" w:rsidR="00512AB6" w:rsidRPr="00F10966" w:rsidRDefault="00512AB6" w:rsidP="00512AB6"/>
    <w:p w14:paraId="2346C47A" w14:textId="77777777" w:rsidR="00512AB6" w:rsidRPr="00F10966" w:rsidRDefault="00512AB6" w:rsidP="00512AB6">
      <w:r w:rsidRPr="00F10966">
        <w:t>Additional detail on these topics and other supportive policy actions that could further support FERC 2222 implementation are in Appendix X.</w:t>
      </w:r>
    </w:p>
    <w:p w14:paraId="6CEC339D" w14:textId="77777777" w:rsidR="00512AB6" w:rsidRPr="00F10966" w:rsidRDefault="00512AB6" w:rsidP="00512AB6"/>
    <w:p w14:paraId="3C851030" w14:textId="77777777" w:rsidR="00512AB6" w:rsidRPr="00F10966" w:rsidRDefault="00512AB6" w:rsidP="00512AB6">
      <w:r w:rsidRPr="00F10966">
        <w:t xml:space="preserve">As noted in the recommendations above, the key next step to advance these efforts would be an SCC proceeding—or similar statewide effort—to establish the minimum statewide procedures outlined in Table XX (and detailed in Appendix YY) that are necessary for aggregators to understand the rules governing distribution-system participation before they must enter PJM's 2027 market processes. </w:t>
      </w:r>
    </w:p>
    <w:p w14:paraId="693CD449" w14:textId="77777777" w:rsidR="00512AB6" w:rsidRDefault="00512AB6" w:rsidP="00512AB6"/>
    <w:p w14:paraId="0F728780" w14:textId="678E7214" w:rsidR="00451D1A" w:rsidRDefault="00451D1A" w:rsidP="00160BBE">
      <w:pPr>
        <w:pStyle w:val="Heading2"/>
        <w:spacing w:after="160"/>
        <w:rPr>
          <w:rFonts w:eastAsia="Georgia"/>
          <w:b/>
          <w:bCs/>
          <w:color w:val="1F3A5F"/>
        </w:rPr>
      </w:pPr>
      <w:bookmarkStart w:id="1552" w:name="_Toc14913901"/>
      <w:bookmarkStart w:id="1553" w:name="_Toc35380105"/>
      <w:bookmarkStart w:id="1554" w:name="_Toc1883285467"/>
      <w:bookmarkStart w:id="1555" w:name="_Toc1293391379"/>
      <w:bookmarkStart w:id="1556" w:name="_Toc1727958705"/>
      <w:bookmarkStart w:id="1557" w:name="_Toc907316226"/>
      <w:bookmarkStart w:id="1558" w:name="_Toc1425257034"/>
      <w:bookmarkStart w:id="1559" w:name="_Toc916226547"/>
      <w:bookmarkStart w:id="1560" w:name="_Toc1770032693"/>
      <w:bookmarkStart w:id="1561" w:name="_Toc1217333654"/>
      <w:bookmarkStart w:id="1562" w:name="_Toc836355461"/>
      <w:bookmarkStart w:id="1563" w:name="_Toc441151476"/>
      <w:bookmarkStart w:id="1564" w:name="_Toc1422697632"/>
      <w:bookmarkStart w:id="1565" w:name="_Toc1762664663"/>
      <w:bookmarkStart w:id="1566" w:name="_Toc602842919"/>
      <w:bookmarkStart w:id="1567" w:name="_Toc1755028714"/>
      <w:bookmarkStart w:id="1568" w:name="_Toc159068300"/>
      <w:bookmarkStart w:id="1569" w:name="_Toc659543457"/>
      <w:bookmarkStart w:id="1570" w:name="_Toc1570590003"/>
      <w:bookmarkStart w:id="1571" w:name="_Toc357530844"/>
      <w:bookmarkStart w:id="1572" w:name="_Toc460283190"/>
      <w:bookmarkStart w:id="1573" w:name="_Toc1944293673"/>
      <w:bookmarkStart w:id="1574" w:name="_Toc1596924664"/>
      <w:bookmarkStart w:id="1575" w:name="_Toc377079079"/>
      <w:bookmarkStart w:id="1576" w:name="_Toc364083482"/>
      <w:bookmarkStart w:id="1577" w:name="_Toc1285019315"/>
      <w:bookmarkStart w:id="1578" w:name="_Toc244467474"/>
      <w:bookmarkStart w:id="1579" w:name="_Toc663464188"/>
      <w:bookmarkStart w:id="1580" w:name="_Toc1110459665"/>
      <w:bookmarkStart w:id="1581" w:name="_Toc192812111"/>
      <w:bookmarkStart w:id="1582" w:name="_Toc1944164981"/>
      <w:bookmarkStart w:id="1583" w:name="_Toc1677042687"/>
      <w:bookmarkStart w:id="1584" w:name="_Toc2045468068"/>
      <w:bookmarkStart w:id="1585" w:name="_Toc941099750"/>
      <w:bookmarkStart w:id="1586" w:name="_Toc308853406"/>
      <w:bookmarkStart w:id="1587" w:name="_Toc482558615"/>
      <w:bookmarkStart w:id="1588" w:name="_Toc2129956197"/>
      <w:bookmarkStart w:id="1589" w:name="_Toc2094180638"/>
      <w:bookmarkStart w:id="1590" w:name="_Toc1479122714"/>
      <w:bookmarkStart w:id="1591" w:name="_Toc1115285432"/>
      <w:bookmarkStart w:id="1592" w:name="_Toc1224947242"/>
      <w:bookmarkStart w:id="1593" w:name="_Toc1469399980"/>
      <w:bookmarkStart w:id="1594" w:name="_Toc1387747549"/>
      <w:bookmarkStart w:id="1595" w:name="_Toc1311505192"/>
      <w:bookmarkStart w:id="1596" w:name="_Toc1967999980"/>
      <w:bookmarkStart w:id="1597" w:name="_Toc79551941"/>
      <w:bookmarkStart w:id="1598" w:name="_Toc964801402"/>
      <w:bookmarkStart w:id="1599" w:name="_Toc1392632177"/>
      <w:bookmarkStart w:id="1600" w:name="_Toc2003432161"/>
      <w:bookmarkStart w:id="1601" w:name="_Toc239862920"/>
      <w:r>
        <w:rPr>
          <w:rFonts w:eastAsia="Georgia"/>
          <w:b/>
          <w:bCs/>
          <w:color w:val="1F3A5F"/>
        </w:rPr>
        <w:t>5.</w:t>
      </w:r>
      <w:r w:rsidR="00683D69">
        <w:rPr>
          <w:rFonts w:eastAsia="Georgia"/>
          <w:b/>
          <w:bCs/>
          <w:color w:val="1F3A5F"/>
        </w:rPr>
        <w:t>4</w:t>
      </w:r>
      <w:r>
        <w:rPr>
          <w:rFonts w:eastAsia="Georgia"/>
          <w:b/>
          <w:bCs/>
          <w:color w:val="1F3A5F"/>
        </w:rPr>
        <w:t xml:space="preserve"> </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r w:rsidR="00082E9B">
        <w:rPr>
          <w:rFonts w:eastAsia="Georgia"/>
          <w:b/>
          <w:bCs/>
          <w:color w:val="1F3A5F"/>
        </w:rPr>
        <w:t>Integrate</w:t>
      </w:r>
      <w:r w:rsidR="003A1661">
        <w:rPr>
          <w:rFonts w:eastAsia="Georgia"/>
          <w:b/>
          <w:bCs/>
          <w:color w:val="1F3A5F"/>
        </w:rPr>
        <w:t>d DER Action Plan</w:t>
      </w:r>
      <w:r w:rsidR="00082E9B">
        <w:rPr>
          <w:rFonts w:eastAsia="Georgia"/>
          <w:b/>
          <w:bCs/>
          <w:color w:val="1F3A5F"/>
        </w:rPr>
        <w:t xml:space="preserve"> Summary </w:t>
      </w:r>
    </w:p>
    <w:tbl>
      <w:tblPr>
        <w:tblW w:w="5000" w:type="pct"/>
        <w:tblBorders>
          <w:top w:val="single" w:sz="4" w:space="0" w:color="C6CDD4"/>
          <w:left w:val="single" w:sz="4" w:space="0" w:color="C6CDD4"/>
          <w:bottom w:val="single" w:sz="4" w:space="0" w:color="C6CDD4"/>
          <w:right w:val="single" w:sz="4" w:space="0" w:color="C6CDD4"/>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FC651C" w:rsidRPr="0041421A" w14:paraId="267601F6" w14:textId="77777777">
        <w:tc>
          <w:tcPr>
            <w:tcW w:w="0" w:type="auto"/>
            <w:shd w:val="clear" w:color="auto" w:fill="E9ECEF"/>
            <w:tcMar>
              <w:top w:w="160" w:type="dxa"/>
              <w:left w:w="200" w:type="dxa"/>
              <w:bottom w:w="160" w:type="dxa"/>
              <w:right w:w="200" w:type="dxa"/>
            </w:tcMar>
          </w:tcPr>
          <w:p w14:paraId="2243F60F" w14:textId="77777777" w:rsidR="00FC651C" w:rsidRPr="0041421A" w:rsidRDefault="00FC651C">
            <w:pPr>
              <w:spacing w:after="80"/>
            </w:pPr>
            <w:r w:rsidRPr="0041421A">
              <w:rPr>
                <w:b/>
                <w:bCs/>
                <w:color w:val="1F3A5F"/>
                <w:sz w:val="19"/>
                <w:szCs w:val="19"/>
              </w:rPr>
              <w:t>TO BE DEVELOPED</w:t>
            </w:r>
          </w:p>
          <w:p w14:paraId="46F45537" w14:textId="7C0B5658" w:rsidR="00FC651C" w:rsidRPr="00C44C44" w:rsidRDefault="00FC651C" w:rsidP="00C44C44">
            <w:pPr>
              <w:spacing w:after="80"/>
              <w:rPr>
                <w:color w:val="3D4A5C"/>
                <w:sz w:val="20"/>
                <w:szCs w:val="20"/>
              </w:rPr>
            </w:pPr>
            <w:r w:rsidRPr="0041421A">
              <w:rPr>
                <w:color w:val="3D4A5C"/>
                <w:sz w:val="20"/>
                <w:szCs w:val="20"/>
              </w:rPr>
              <w:t xml:space="preserve">• </w:t>
            </w:r>
            <w:r w:rsidR="00082E9B">
              <w:rPr>
                <w:color w:val="3D4A5C"/>
                <w:sz w:val="20"/>
                <w:szCs w:val="20"/>
              </w:rPr>
              <w:t xml:space="preserve">Summary </w:t>
            </w:r>
            <w:r w:rsidR="003A1661">
              <w:rPr>
                <w:color w:val="3D4A5C"/>
                <w:sz w:val="20"/>
                <w:szCs w:val="20"/>
              </w:rPr>
              <w:t xml:space="preserve">roadmap </w:t>
            </w:r>
            <w:r w:rsidR="00082E9B">
              <w:rPr>
                <w:color w:val="3D4A5C"/>
                <w:sz w:val="20"/>
                <w:szCs w:val="20"/>
              </w:rPr>
              <w:t>of key actions, owners, and timeline for action across recommendations</w:t>
            </w:r>
          </w:p>
        </w:tc>
      </w:tr>
    </w:tbl>
    <w:p w14:paraId="39EB9D5F" w14:textId="5F5A8137" w:rsidR="005D6CE7" w:rsidRPr="0041421A" w:rsidRDefault="00995D1A" w:rsidP="00160BBE">
      <w:pPr>
        <w:pStyle w:val="Heading1"/>
        <w:pageBreakBefore/>
        <w:pBdr>
          <w:bottom w:val="single" w:sz="10" w:space="6" w:color="1F3A5F"/>
        </w:pBdr>
        <w:spacing w:after="240"/>
        <w:rPr>
          <w:rFonts w:eastAsia="Georgia"/>
          <w:b/>
          <w:color w:val="1F3A5F"/>
        </w:rPr>
      </w:pPr>
      <w:bookmarkStart w:id="1602" w:name="_Toc2099957405"/>
      <w:bookmarkStart w:id="1603" w:name="_Toc1940340212"/>
      <w:bookmarkStart w:id="1604" w:name="_Toc1633391191"/>
      <w:bookmarkStart w:id="1605" w:name="_Toc505867720"/>
      <w:bookmarkStart w:id="1606" w:name="_Toc1782289905"/>
      <w:bookmarkStart w:id="1607" w:name="_Toc1272047048"/>
      <w:bookmarkStart w:id="1608" w:name="_Toc1280680872"/>
      <w:bookmarkStart w:id="1609" w:name="_Toc1162359876"/>
      <w:bookmarkStart w:id="1610" w:name="_Toc382727915"/>
      <w:bookmarkStart w:id="1611" w:name="_Toc1907519290"/>
      <w:bookmarkStart w:id="1612" w:name="_Toc281533550"/>
      <w:bookmarkStart w:id="1613" w:name="_Toc56559063"/>
      <w:bookmarkStart w:id="1614" w:name="_Toc954963075"/>
      <w:bookmarkStart w:id="1615" w:name="_Toc965697944"/>
      <w:bookmarkStart w:id="1616" w:name="_Toc1667640701"/>
      <w:bookmarkStart w:id="1617" w:name="_Toc135825915"/>
      <w:bookmarkStart w:id="1618" w:name="_Toc1971934865"/>
      <w:bookmarkStart w:id="1619" w:name="_Toc879700893"/>
      <w:bookmarkStart w:id="1620" w:name="_Toc1862032205"/>
      <w:bookmarkStart w:id="1621" w:name="_Toc981507724"/>
      <w:bookmarkStart w:id="1622" w:name="_Toc711902696"/>
      <w:bookmarkStart w:id="1623" w:name="_Toc644223790"/>
      <w:bookmarkStart w:id="1624" w:name="_Toc190649774"/>
      <w:bookmarkStart w:id="1625" w:name="_Toc550554614"/>
      <w:bookmarkStart w:id="1626" w:name="_Toc113918976"/>
      <w:bookmarkStart w:id="1627" w:name="_Toc794275866"/>
      <w:bookmarkStart w:id="1628" w:name="_Toc305551535"/>
      <w:bookmarkStart w:id="1629" w:name="_Toc1116998459"/>
      <w:bookmarkStart w:id="1630" w:name="_Toc1308144363"/>
      <w:bookmarkStart w:id="1631" w:name="_Toc999928061"/>
      <w:bookmarkStart w:id="1632" w:name="_Toc1137966734"/>
      <w:bookmarkStart w:id="1633" w:name="_Toc239029611"/>
      <w:bookmarkStart w:id="1634" w:name="_Toc975888809"/>
      <w:bookmarkStart w:id="1635" w:name="_Toc1382497692"/>
      <w:bookmarkStart w:id="1636" w:name="_Toc1008684643"/>
      <w:bookmarkStart w:id="1637" w:name="_Toc486802137"/>
      <w:bookmarkStart w:id="1638" w:name="_Toc936327524"/>
      <w:bookmarkStart w:id="1639" w:name="_Toc16791485"/>
      <w:bookmarkStart w:id="1640" w:name="_Toc1073059192"/>
      <w:bookmarkStart w:id="1641" w:name="_Toc1312825980"/>
      <w:bookmarkStart w:id="1642" w:name="_Toc157735636"/>
      <w:bookmarkStart w:id="1643" w:name="_Toc216616267"/>
      <w:bookmarkStart w:id="1644" w:name="_Toc441414768"/>
      <w:bookmarkStart w:id="1645" w:name="_Toc2026513095"/>
      <w:bookmarkStart w:id="1646" w:name="_Toc1757550565"/>
      <w:bookmarkStart w:id="1647" w:name="_Toc1352351984"/>
      <w:bookmarkStart w:id="1648" w:name="_Toc651805756"/>
      <w:bookmarkStart w:id="1649" w:name="_Toc471052772"/>
      <w:bookmarkStart w:id="1650" w:name="_Toc926799621"/>
      <w:bookmarkStart w:id="1651" w:name="_Toc239862923"/>
      <w:r w:rsidRPr="0041421A">
        <w:rPr>
          <w:rFonts w:eastAsia="Georgia"/>
          <w:b/>
          <w:bCs/>
          <w:color w:val="1F3A5F"/>
        </w:rPr>
        <w:t>Appendix</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14:paraId="1E3FB112" w14:textId="77777777" w:rsidR="0047569D" w:rsidRDefault="00995D1A">
      <w:pPr>
        <w:pStyle w:val="Heading1"/>
        <w:spacing w:after="240"/>
      </w:pPr>
      <w:bookmarkStart w:id="1652" w:name="_Toc248027505"/>
      <w:bookmarkStart w:id="1653" w:name="_Toc507529702"/>
      <w:bookmarkStart w:id="1654" w:name="_Toc1902895033"/>
      <w:bookmarkStart w:id="1655" w:name="_Toc1220769794"/>
      <w:bookmarkStart w:id="1656" w:name="_Toc2111417725"/>
      <w:bookmarkStart w:id="1657" w:name="_Toc1978541914"/>
      <w:bookmarkStart w:id="1658" w:name="_Toc1151757605"/>
      <w:bookmarkStart w:id="1659" w:name="_Toc1195228079"/>
      <w:bookmarkStart w:id="1660" w:name="_Toc1000658140"/>
      <w:bookmarkStart w:id="1661" w:name="_Toc2093390986"/>
      <w:bookmarkStart w:id="1662" w:name="_Toc1902013924"/>
      <w:bookmarkStart w:id="1663" w:name="_Toc611566343"/>
      <w:bookmarkStart w:id="1664" w:name="_Toc935121224"/>
      <w:bookmarkStart w:id="1665" w:name="_Toc2114716510"/>
      <w:bookmarkStart w:id="1666" w:name="_Toc482306201"/>
      <w:bookmarkStart w:id="1667" w:name="_Toc233620351"/>
      <w:bookmarkStart w:id="1668" w:name="_Toc1143352000"/>
      <w:bookmarkStart w:id="1669" w:name="_Toc607151623"/>
      <w:bookmarkStart w:id="1670" w:name="_Toc41119593"/>
      <w:bookmarkStart w:id="1671" w:name="_Toc2085285938"/>
      <w:bookmarkStart w:id="1672" w:name="_Toc539179515"/>
      <w:bookmarkStart w:id="1673" w:name="_Toc220034319"/>
      <w:bookmarkStart w:id="1674" w:name="_Toc1693721947"/>
      <w:bookmarkStart w:id="1675" w:name="_Toc867209068"/>
      <w:bookmarkStart w:id="1676" w:name="_Toc1496395429"/>
      <w:bookmarkStart w:id="1677" w:name="_Toc1679459413"/>
      <w:bookmarkStart w:id="1678" w:name="_Toc1040105513"/>
      <w:bookmarkStart w:id="1679" w:name="_Toc1409200967"/>
      <w:bookmarkStart w:id="1680" w:name="_Toc258152049"/>
      <w:bookmarkStart w:id="1681" w:name="_Toc145990366"/>
      <w:bookmarkStart w:id="1682" w:name="_Toc892966976"/>
      <w:bookmarkStart w:id="1683" w:name="_Toc1313476177"/>
      <w:bookmarkStart w:id="1684" w:name="_Toc461302119"/>
      <w:bookmarkStart w:id="1685" w:name="_Toc769535398"/>
      <w:bookmarkStart w:id="1686" w:name="_Toc713911368"/>
      <w:bookmarkStart w:id="1687" w:name="_Toc914431675"/>
      <w:bookmarkStart w:id="1688" w:name="_Toc1829489125"/>
      <w:bookmarkStart w:id="1689" w:name="_Toc1794374751"/>
      <w:bookmarkStart w:id="1690" w:name="_Toc1725691402"/>
      <w:bookmarkStart w:id="1691" w:name="_Toc1551070670"/>
      <w:bookmarkStart w:id="1692" w:name="_Toc1606051259"/>
      <w:bookmarkStart w:id="1693" w:name="_Toc2033903036"/>
      <w:bookmarkStart w:id="1694" w:name="_Toc1828265585"/>
      <w:bookmarkStart w:id="1695" w:name="_Toc2084080333"/>
      <w:bookmarkStart w:id="1696" w:name="_Toc1334702995"/>
      <w:bookmarkStart w:id="1697" w:name="_Toc1754254973"/>
      <w:bookmarkStart w:id="1698" w:name="_Toc1574874304"/>
      <w:bookmarkStart w:id="1699" w:name="_Toc393041062"/>
      <w:bookmarkStart w:id="1700" w:name="_Toc154272850"/>
      <w:bookmarkStart w:id="1701" w:name="_Toc239862924"/>
      <w:r w:rsidRPr="00A83026">
        <w:rPr>
          <w:rFonts w:eastAsia="Georgia"/>
          <w:b/>
          <w:color w:val="1F3A5F"/>
          <w:sz w:val="26"/>
          <w:szCs w:val="26"/>
        </w:rPr>
        <w:t>A. Overview of Task Force Members</w:t>
      </w:r>
      <w:r w:rsidR="0047569D" w:rsidRPr="00124589">
        <w:rPr>
          <w:rStyle w:val="FootnoteReference"/>
          <w:color w:val="auto"/>
          <w:sz w:val="22"/>
          <w:szCs w:val="22"/>
        </w:rPr>
        <w:footnoteReference w:id="59"/>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14:paraId="10722FDB" w14:textId="77777777" w:rsidR="0047569D" w:rsidRPr="0047569D" w:rsidRDefault="0047569D">
      <w:pPr>
        <w:spacing w:after="80"/>
        <w:rPr>
          <w:sz w:val="28"/>
          <w:szCs w:val="28"/>
        </w:rPr>
      </w:pPr>
      <w:r w:rsidRPr="0047569D">
        <w:rPr>
          <w:b/>
          <w:bCs/>
          <w:color w:val="1F3A5F"/>
        </w:rPr>
        <w:t>Task Force Roster (16 Members)</w:t>
      </w:r>
    </w:p>
    <w:p w14:paraId="07A2AC0B" w14:textId="77777777" w:rsidR="0047569D" w:rsidRDefault="0047569D" w:rsidP="003A7E6F">
      <w:pPr>
        <w:pStyle w:val="ListParagraph"/>
        <w:numPr>
          <w:ilvl w:val="0"/>
          <w:numId w:val="4"/>
        </w:numPr>
        <w:spacing w:after="120"/>
      </w:pPr>
      <w:r>
        <w:rPr>
          <w:b/>
          <w:bCs/>
          <w:color w:val="3D4A5C"/>
        </w:rPr>
        <w:t>Chief Josephus Allmond</w:t>
      </w:r>
      <w:r>
        <w:rPr>
          <w:color w:val="3D4A5C"/>
        </w:rPr>
        <w:t>, Chief Energy Officer, Office of the Governor</w:t>
      </w:r>
      <w:r>
        <w:rPr>
          <w:b/>
          <w:bCs/>
          <w:color w:val="1F3A5F"/>
        </w:rPr>
        <w:t xml:space="preserve"> (Chair)</w:t>
      </w:r>
    </w:p>
    <w:p w14:paraId="06AEE06A" w14:textId="77777777" w:rsidR="0047569D" w:rsidRDefault="0047569D" w:rsidP="003A7E6F">
      <w:pPr>
        <w:pStyle w:val="ListParagraph"/>
        <w:numPr>
          <w:ilvl w:val="0"/>
          <w:numId w:val="4"/>
        </w:numPr>
        <w:spacing w:after="120"/>
      </w:pPr>
      <w:r>
        <w:rPr>
          <w:b/>
          <w:bCs/>
          <w:color w:val="3D4A5C"/>
        </w:rPr>
        <w:t>Delegate Richard (Rip) Sullivan</w:t>
      </w:r>
      <w:r>
        <w:rPr>
          <w:color w:val="3D4A5C"/>
        </w:rPr>
        <w:t>, Delegate, 6th District, Virginia House of Delegates</w:t>
      </w:r>
    </w:p>
    <w:p w14:paraId="7DE401BE" w14:textId="77777777" w:rsidR="0047569D" w:rsidRDefault="0047569D" w:rsidP="003A7E6F">
      <w:pPr>
        <w:pStyle w:val="ListParagraph"/>
        <w:numPr>
          <w:ilvl w:val="0"/>
          <w:numId w:val="4"/>
        </w:numPr>
        <w:spacing w:after="120"/>
      </w:pPr>
      <w:r>
        <w:rPr>
          <w:b/>
          <w:bCs/>
          <w:color w:val="3D4A5C"/>
        </w:rPr>
        <w:t>Delegate Dan Helmer</w:t>
      </w:r>
      <w:r>
        <w:rPr>
          <w:color w:val="3D4A5C"/>
        </w:rPr>
        <w:t>, Delegate, 10th District, Virginia House of Delegates</w:t>
      </w:r>
    </w:p>
    <w:p w14:paraId="2F23E1EA" w14:textId="77777777" w:rsidR="0047569D" w:rsidRDefault="0047569D" w:rsidP="003A7E6F">
      <w:pPr>
        <w:pStyle w:val="ListParagraph"/>
        <w:numPr>
          <w:ilvl w:val="0"/>
          <w:numId w:val="4"/>
        </w:numPr>
        <w:spacing w:after="120"/>
      </w:pPr>
      <w:r>
        <w:rPr>
          <w:b/>
          <w:bCs/>
          <w:color w:val="3D4A5C"/>
        </w:rPr>
        <w:t>Senator Schuyler VanValkenburg</w:t>
      </w:r>
      <w:r>
        <w:rPr>
          <w:color w:val="3D4A5C"/>
        </w:rPr>
        <w:t>, Senator, 16th District, Virginia State Senate</w:t>
      </w:r>
    </w:p>
    <w:p w14:paraId="0E9EACA5" w14:textId="24DD8691" w:rsidR="0047569D" w:rsidRDefault="0047569D" w:rsidP="003A7E6F">
      <w:pPr>
        <w:pStyle w:val="ListParagraph"/>
        <w:numPr>
          <w:ilvl w:val="0"/>
          <w:numId w:val="4"/>
        </w:numPr>
        <w:spacing w:after="120"/>
      </w:pPr>
      <w:r>
        <w:rPr>
          <w:b/>
          <w:bCs/>
          <w:color w:val="3D4A5C"/>
        </w:rPr>
        <w:t>Deputy Secretary Kristin Dahlman</w:t>
      </w:r>
      <w:r>
        <w:rPr>
          <w:color w:val="3D4A5C"/>
        </w:rPr>
        <w:t>,</w:t>
      </w:r>
      <w:r w:rsidR="000D773F">
        <w:rPr>
          <w:color w:val="3D4A5C"/>
        </w:rPr>
        <w:t xml:space="preserve"> </w:t>
      </w:r>
      <w:r>
        <w:rPr>
          <w:color w:val="3D4A5C"/>
        </w:rPr>
        <w:t>Office of the Secretary of Commerce and Trade</w:t>
      </w:r>
      <w:r w:rsidR="000D773F">
        <w:rPr>
          <w:color w:val="3D4A5C"/>
        </w:rPr>
        <w:t xml:space="preserve"> (Designee of Secretary </w:t>
      </w:r>
      <w:r w:rsidR="00815A31">
        <w:rPr>
          <w:color w:val="3D4A5C"/>
        </w:rPr>
        <w:t xml:space="preserve">Carrie </w:t>
      </w:r>
      <w:r w:rsidR="000D773F">
        <w:rPr>
          <w:color w:val="3D4A5C"/>
        </w:rPr>
        <w:t>Chenery)</w:t>
      </w:r>
    </w:p>
    <w:p w14:paraId="7851F939" w14:textId="10724A67" w:rsidR="0047569D" w:rsidRDefault="0047569D" w:rsidP="003A7E6F">
      <w:pPr>
        <w:pStyle w:val="ListParagraph"/>
        <w:numPr>
          <w:ilvl w:val="0"/>
          <w:numId w:val="4"/>
        </w:numPr>
        <w:spacing w:after="120"/>
      </w:pPr>
      <w:r>
        <w:rPr>
          <w:b/>
          <w:bCs/>
          <w:color w:val="3D4A5C"/>
        </w:rPr>
        <w:t>Carrie Hearne</w:t>
      </w:r>
      <w:r>
        <w:rPr>
          <w:color w:val="3D4A5C"/>
        </w:rPr>
        <w:t xml:space="preserve">, Director, </w:t>
      </w:r>
      <w:r w:rsidR="004C68C8">
        <w:rPr>
          <w:color w:val="3D4A5C"/>
        </w:rPr>
        <w:t xml:space="preserve">Energy Commission of Virginia </w:t>
      </w:r>
      <w:r>
        <w:rPr>
          <w:color w:val="3D4A5C"/>
        </w:rPr>
        <w:t>(</w:t>
      </w:r>
      <w:r w:rsidR="000D773F">
        <w:rPr>
          <w:color w:val="3D4A5C"/>
        </w:rPr>
        <w:t>D</w:t>
      </w:r>
      <w:r>
        <w:rPr>
          <w:color w:val="3D4A5C"/>
        </w:rPr>
        <w:t>esignee of Senator Scott Surovell)</w:t>
      </w:r>
    </w:p>
    <w:p w14:paraId="7BD30440" w14:textId="11AEF7BC" w:rsidR="0047569D" w:rsidRDefault="0047569D" w:rsidP="003A7E6F">
      <w:pPr>
        <w:pStyle w:val="ListParagraph"/>
        <w:numPr>
          <w:ilvl w:val="0"/>
          <w:numId w:val="4"/>
        </w:numPr>
        <w:spacing w:after="120"/>
      </w:pPr>
      <w:r>
        <w:rPr>
          <w:b/>
          <w:bCs/>
          <w:color w:val="3D4A5C"/>
        </w:rPr>
        <w:t>Emily Orvis</w:t>
      </w:r>
      <w:r>
        <w:rPr>
          <w:color w:val="3D4A5C"/>
        </w:rPr>
        <w:t>, Vice President of Energy Markets, Voltus</w:t>
      </w:r>
      <w:r w:rsidR="00AF0FB1">
        <w:rPr>
          <w:color w:val="3D4A5C"/>
        </w:rPr>
        <w:t>, Inc.</w:t>
      </w:r>
    </w:p>
    <w:p w14:paraId="695717E3" w14:textId="77777777" w:rsidR="0047569D" w:rsidRDefault="0047569D" w:rsidP="003A7E6F">
      <w:pPr>
        <w:pStyle w:val="ListParagraph"/>
        <w:numPr>
          <w:ilvl w:val="0"/>
          <w:numId w:val="4"/>
        </w:numPr>
        <w:spacing w:after="120"/>
      </w:pPr>
      <w:r>
        <w:rPr>
          <w:b/>
          <w:bCs/>
          <w:color w:val="3D4A5C"/>
        </w:rPr>
        <w:t>John Farmer</w:t>
      </w:r>
      <w:r>
        <w:rPr>
          <w:color w:val="3D4A5C"/>
        </w:rPr>
        <w:t>, Energy Regulatory Attorney, Virginia Office of the Attorney General</w:t>
      </w:r>
    </w:p>
    <w:p w14:paraId="4D3C5D6B" w14:textId="77777777" w:rsidR="0047569D" w:rsidRDefault="0047569D" w:rsidP="003A7E6F">
      <w:pPr>
        <w:pStyle w:val="ListParagraph"/>
        <w:numPr>
          <w:ilvl w:val="0"/>
          <w:numId w:val="4"/>
        </w:numPr>
        <w:spacing w:after="120"/>
      </w:pPr>
      <w:r>
        <w:rPr>
          <w:b/>
          <w:bCs/>
          <w:color w:val="3D4A5C"/>
        </w:rPr>
        <w:t>Lt. Governor Ghazala Hashmi</w:t>
      </w:r>
      <w:r>
        <w:rPr>
          <w:color w:val="3D4A5C"/>
        </w:rPr>
        <w:t>, Lieutenant Governor of the Commonwealth of Virginia</w:t>
      </w:r>
    </w:p>
    <w:p w14:paraId="1FD8B8AD" w14:textId="77777777" w:rsidR="0047569D" w:rsidRDefault="0047569D" w:rsidP="003A7E6F">
      <w:pPr>
        <w:pStyle w:val="ListParagraph"/>
        <w:numPr>
          <w:ilvl w:val="0"/>
          <w:numId w:val="4"/>
        </w:numPr>
        <w:spacing w:after="120"/>
      </w:pPr>
      <w:r>
        <w:rPr>
          <w:b/>
          <w:bCs/>
          <w:color w:val="3D4A5C"/>
        </w:rPr>
        <w:t>Ashish Kapoor</w:t>
      </w:r>
      <w:r>
        <w:rPr>
          <w:color w:val="3D4A5C"/>
        </w:rPr>
        <w:t>, Senior Energy and Climate Advisor, Piedmont Environmental Council</w:t>
      </w:r>
    </w:p>
    <w:p w14:paraId="5831806A" w14:textId="77777777" w:rsidR="0047569D" w:rsidRDefault="0047569D" w:rsidP="003A7E6F">
      <w:pPr>
        <w:pStyle w:val="ListParagraph"/>
        <w:numPr>
          <w:ilvl w:val="0"/>
          <w:numId w:val="4"/>
        </w:numPr>
        <w:spacing w:after="120"/>
      </w:pPr>
      <w:r>
        <w:rPr>
          <w:b/>
          <w:bCs/>
          <w:color w:val="3D4A5C"/>
        </w:rPr>
        <w:t>Richard Caperton</w:t>
      </w:r>
      <w:r>
        <w:rPr>
          <w:color w:val="3D4A5C"/>
        </w:rPr>
        <w:t>, Vice President of Public Policy, SPAN</w:t>
      </w:r>
    </w:p>
    <w:p w14:paraId="7E184BDB" w14:textId="77777777" w:rsidR="0047569D" w:rsidRDefault="0047569D" w:rsidP="003A7E6F">
      <w:pPr>
        <w:pStyle w:val="ListParagraph"/>
        <w:numPr>
          <w:ilvl w:val="0"/>
          <w:numId w:val="4"/>
        </w:numPr>
        <w:spacing w:after="120"/>
      </w:pPr>
      <w:r>
        <w:rPr>
          <w:b/>
          <w:bCs/>
          <w:color w:val="3D4A5C"/>
        </w:rPr>
        <w:t>Tony Smith</w:t>
      </w:r>
      <w:r>
        <w:rPr>
          <w:color w:val="3D4A5C"/>
        </w:rPr>
        <w:t>, Chair and Co-Founder, Virginia Distributed Solar Alliance</w:t>
      </w:r>
    </w:p>
    <w:p w14:paraId="0522F93D" w14:textId="77777777" w:rsidR="0047569D" w:rsidRDefault="0047569D" w:rsidP="003A7E6F">
      <w:pPr>
        <w:pStyle w:val="ListParagraph"/>
        <w:numPr>
          <w:ilvl w:val="0"/>
          <w:numId w:val="4"/>
        </w:numPr>
        <w:spacing w:after="120"/>
      </w:pPr>
      <w:r>
        <w:rPr>
          <w:b/>
          <w:bCs/>
          <w:color w:val="3D4A5C"/>
        </w:rPr>
        <w:t>Dawn Oleksy</w:t>
      </w:r>
      <w:r>
        <w:rPr>
          <w:color w:val="3D4A5C"/>
        </w:rPr>
        <w:t>, Clean Energy Manager, City of Richmond</w:t>
      </w:r>
    </w:p>
    <w:p w14:paraId="29C04332" w14:textId="77777777" w:rsidR="0047569D" w:rsidRDefault="0047569D" w:rsidP="003A7E6F">
      <w:pPr>
        <w:pStyle w:val="ListParagraph"/>
        <w:numPr>
          <w:ilvl w:val="0"/>
          <w:numId w:val="4"/>
        </w:numPr>
        <w:spacing w:after="120"/>
      </w:pPr>
      <w:r>
        <w:rPr>
          <w:b/>
          <w:bCs/>
          <w:color w:val="3D4A5C"/>
        </w:rPr>
        <w:t>Joe Lerch</w:t>
      </w:r>
      <w:r>
        <w:rPr>
          <w:color w:val="3D4A5C"/>
        </w:rPr>
        <w:t>, Director of Local Government Policy, Virginia Association of Counties</w:t>
      </w:r>
    </w:p>
    <w:p w14:paraId="4FDEAB2E" w14:textId="77777777" w:rsidR="0047569D" w:rsidRDefault="0047569D" w:rsidP="003A7E6F">
      <w:pPr>
        <w:pStyle w:val="ListParagraph"/>
        <w:numPr>
          <w:ilvl w:val="0"/>
          <w:numId w:val="4"/>
        </w:numPr>
        <w:spacing w:after="120"/>
      </w:pPr>
      <w:r>
        <w:rPr>
          <w:b/>
          <w:bCs/>
          <w:color w:val="3D4A5C"/>
        </w:rPr>
        <w:t>Angela Navarro</w:t>
      </w:r>
      <w:r>
        <w:rPr>
          <w:color w:val="3D4A5C"/>
        </w:rPr>
        <w:t>, President, Align Energy Advisors</w:t>
      </w:r>
    </w:p>
    <w:p w14:paraId="017DB310" w14:textId="57A2E5C5" w:rsidR="0047569D" w:rsidRPr="00124589" w:rsidRDefault="0047569D" w:rsidP="003A7E6F">
      <w:pPr>
        <w:pStyle w:val="ListParagraph"/>
        <w:numPr>
          <w:ilvl w:val="0"/>
          <w:numId w:val="4"/>
        </w:numPr>
        <w:spacing w:after="120"/>
      </w:pPr>
      <w:r>
        <w:rPr>
          <w:b/>
          <w:bCs/>
          <w:color w:val="3D4A5C"/>
        </w:rPr>
        <w:t>Bill Murray</w:t>
      </w:r>
      <w:r>
        <w:rPr>
          <w:color w:val="3D4A5C"/>
        </w:rPr>
        <w:t>, Senior Vice President, Corporate Affairs &amp; Communications, Dominion Energy</w:t>
      </w:r>
    </w:p>
    <w:p w14:paraId="12730BFE" w14:textId="77777777" w:rsidR="00124589" w:rsidRPr="00124589" w:rsidRDefault="00124589" w:rsidP="00F435F1">
      <w:pPr>
        <w:pStyle w:val="ListParagraph"/>
        <w:spacing w:after="120"/>
        <w:ind w:left="504"/>
      </w:pPr>
    </w:p>
    <w:p w14:paraId="6C8CE893" w14:textId="6FF768D5" w:rsidR="005D6CE7" w:rsidRPr="0041421A" w:rsidRDefault="00995D1A" w:rsidP="00160BBE">
      <w:pPr>
        <w:pStyle w:val="Heading2"/>
        <w:spacing w:after="160"/>
        <w:rPr>
          <w:rFonts w:eastAsia="Georgia"/>
          <w:b/>
          <w:color w:val="1F3A5F"/>
        </w:rPr>
      </w:pPr>
      <w:bookmarkStart w:id="1702" w:name="_Toc2086583686"/>
      <w:bookmarkStart w:id="1703" w:name="_Toc1993843206"/>
      <w:bookmarkStart w:id="1704" w:name="_Toc215652618"/>
      <w:bookmarkStart w:id="1705" w:name="_Toc728529169"/>
      <w:bookmarkStart w:id="1706" w:name="_Toc874006984"/>
      <w:bookmarkStart w:id="1707" w:name="_Toc912080789"/>
      <w:bookmarkStart w:id="1708" w:name="_Toc1271491565"/>
      <w:bookmarkStart w:id="1709" w:name="_Toc1649451664"/>
      <w:bookmarkStart w:id="1710" w:name="_Toc1664346095"/>
      <w:bookmarkStart w:id="1711" w:name="_Toc1627418748"/>
      <w:bookmarkStart w:id="1712" w:name="_Toc786915734"/>
      <w:bookmarkStart w:id="1713" w:name="_Toc1814493332"/>
      <w:bookmarkStart w:id="1714" w:name="_Toc26697397"/>
      <w:bookmarkStart w:id="1715" w:name="_Toc599668565"/>
      <w:bookmarkStart w:id="1716" w:name="_Toc1926159763"/>
      <w:bookmarkStart w:id="1717" w:name="_Toc1847904812"/>
      <w:bookmarkStart w:id="1718" w:name="_Toc552544606"/>
      <w:bookmarkStart w:id="1719" w:name="_Toc905345560"/>
      <w:bookmarkStart w:id="1720" w:name="_Toc2130239022"/>
      <w:bookmarkStart w:id="1721" w:name="_Toc161857323"/>
      <w:bookmarkStart w:id="1722" w:name="_Toc289212447"/>
      <w:bookmarkStart w:id="1723" w:name="_Toc814882386"/>
      <w:bookmarkStart w:id="1724" w:name="_Toc1808172125"/>
      <w:bookmarkStart w:id="1725" w:name="_Toc1667117276"/>
      <w:bookmarkStart w:id="1726" w:name="_Toc1364669664"/>
      <w:bookmarkStart w:id="1727" w:name="_Toc881243008"/>
      <w:bookmarkStart w:id="1728" w:name="_Toc323320190"/>
      <w:bookmarkStart w:id="1729" w:name="_Toc2010069444"/>
      <w:bookmarkStart w:id="1730" w:name="_Toc1831531728"/>
      <w:bookmarkStart w:id="1731" w:name="_Toc884644567"/>
      <w:bookmarkStart w:id="1732" w:name="_Toc2000313318"/>
      <w:bookmarkStart w:id="1733" w:name="_Toc187392945"/>
      <w:bookmarkStart w:id="1734" w:name="_Toc1088475224"/>
      <w:bookmarkStart w:id="1735" w:name="_Toc1352223930"/>
      <w:bookmarkStart w:id="1736" w:name="_Toc253524830"/>
      <w:bookmarkStart w:id="1737" w:name="_Toc450315048"/>
      <w:bookmarkStart w:id="1738" w:name="_Toc1008904575"/>
      <w:bookmarkStart w:id="1739" w:name="_Toc324221334"/>
      <w:bookmarkStart w:id="1740" w:name="_Toc1066761919"/>
      <w:bookmarkStart w:id="1741" w:name="_Toc1849274413"/>
      <w:bookmarkStart w:id="1742" w:name="_Toc1114844911"/>
      <w:bookmarkStart w:id="1743" w:name="_Toc1636008991"/>
      <w:bookmarkStart w:id="1744" w:name="_Toc485517897"/>
      <w:bookmarkStart w:id="1745" w:name="_Toc2037322006"/>
      <w:bookmarkStart w:id="1746" w:name="_Toc1008460634"/>
      <w:bookmarkStart w:id="1747" w:name="_Toc866140611"/>
      <w:bookmarkStart w:id="1748" w:name="_Toc1487723528"/>
      <w:bookmarkStart w:id="1749" w:name="_Toc1163829719"/>
      <w:bookmarkStart w:id="1750" w:name="_Toc214238423"/>
      <w:bookmarkStart w:id="1751" w:name="_Toc239862925"/>
      <w:r w:rsidRPr="0041421A">
        <w:rPr>
          <w:rFonts w:eastAsia="Georgia"/>
          <w:b/>
          <w:bCs/>
          <w:color w:val="1F3A5F"/>
        </w:rPr>
        <w:t>B. Summary of Stakeholder Input and Process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tbl>
      <w:tblPr>
        <w:tblW w:w="5000" w:type="pct"/>
        <w:tblBorders>
          <w:top w:val="single" w:sz="4" w:space="0" w:color="C6CDD4"/>
          <w:left w:val="single" w:sz="4" w:space="0" w:color="C6CDD4"/>
          <w:bottom w:val="single" w:sz="4" w:space="0" w:color="C6CDD4"/>
          <w:right w:val="single" w:sz="4" w:space="0" w:color="C6CDD4"/>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5D6CE7" w:rsidRPr="0041421A" w14:paraId="5641B367" w14:textId="77777777">
        <w:tc>
          <w:tcPr>
            <w:tcW w:w="0" w:type="auto"/>
            <w:shd w:val="clear" w:color="auto" w:fill="E9ECEF"/>
            <w:tcMar>
              <w:top w:w="160" w:type="dxa"/>
              <w:left w:w="200" w:type="dxa"/>
              <w:bottom w:w="160" w:type="dxa"/>
              <w:right w:w="200" w:type="dxa"/>
            </w:tcMar>
          </w:tcPr>
          <w:p w14:paraId="74C33BE5" w14:textId="77777777" w:rsidR="005D6CE7" w:rsidRPr="0041421A" w:rsidRDefault="00995D1A" w:rsidP="00160BBE">
            <w:pPr>
              <w:spacing w:after="80"/>
            </w:pPr>
            <w:r w:rsidRPr="0041421A">
              <w:rPr>
                <w:b/>
                <w:bCs/>
                <w:color w:val="1F3A5F"/>
                <w:sz w:val="19"/>
                <w:szCs w:val="19"/>
              </w:rPr>
              <w:t>TO BE DEVELOPED</w:t>
            </w:r>
          </w:p>
          <w:p w14:paraId="00DDC0FF" w14:textId="77777777" w:rsidR="005D6CE7" w:rsidRPr="0041421A" w:rsidRDefault="00995D1A" w:rsidP="00160BBE">
            <w:r w:rsidRPr="0041421A">
              <w:rPr>
                <w:color w:val="3D4A5C"/>
                <w:sz w:val="20"/>
                <w:szCs w:val="20"/>
              </w:rPr>
              <w:t>• Synthesis of stakeholder engagement and public comment received over the course of the Task Force's work, integrated with key findings per Task Force member request.</w:t>
            </w:r>
          </w:p>
        </w:tc>
      </w:tr>
    </w:tbl>
    <w:p w14:paraId="3AA62C52" w14:textId="7DD8B047" w:rsidR="007E2E9E" w:rsidRPr="0041421A" w:rsidRDefault="00CA3436" w:rsidP="007E2E9E">
      <w:pPr>
        <w:pStyle w:val="Heading2"/>
        <w:spacing w:after="160"/>
        <w:rPr>
          <w:rFonts w:eastAsia="Georgia"/>
          <w:b/>
          <w:color w:val="1F3A5F"/>
        </w:rPr>
      </w:pPr>
      <w:bookmarkStart w:id="1752" w:name="_Toc940711882"/>
      <w:bookmarkStart w:id="1753" w:name="_Toc540413580"/>
      <w:bookmarkStart w:id="1754" w:name="_Toc1942421716"/>
      <w:bookmarkStart w:id="1755" w:name="_Toc67666498"/>
      <w:bookmarkStart w:id="1756" w:name="_Toc53322271"/>
      <w:bookmarkStart w:id="1757" w:name="_Toc312403851"/>
      <w:bookmarkStart w:id="1758" w:name="_Toc892941142"/>
      <w:bookmarkStart w:id="1759" w:name="_Toc836648985"/>
      <w:bookmarkStart w:id="1760" w:name="_Toc297693363"/>
      <w:bookmarkStart w:id="1761" w:name="_Toc157834329"/>
      <w:bookmarkStart w:id="1762" w:name="_Toc483930536"/>
      <w:bookmarkStart w:id="1763" w:name="_Toc2122619048"/>
      <w:bookmarkStart w:id="1764" w:name="_Toc1502101035"/>
      <w:bookmarkStart w:id="1765" w:name="_Toc1510974703"/>
      <w:bookmarkStart w:id="1766" w:name="_Toc1619556301"/>
      <w:bookmarkStart w:id="1767" w:name="_Toc1312197736"/>
      <w:bookmarkStart w:id="1768" w:name="_Toc502440575"/>
      <w:bookmarkStart w:id="1769" w:name="_Toc237458911"/>
      <w:bookmarkStart w:id="1770" w:name="_Toc1601102911"/>
      <w:bookmarkStart w:id="1771" w:name="_Toc1160036762"/>
      <w:bookmarkStart w:id="1772" w:name="_Toc186212168"/>
      <w:bookmarkStart w:id="1773" w:name="_Toc669394840"/>
      <w:bookmarkStart w:id="1774" w:name="_Toc1356396818"/>
      <w:bookmarkStart w:id="1775" w:name="_Toc452540222"/>
      <w:bookmarkStart w:id="1776" w:name="_Toc1178106822"/>
      <w:bookmarkStart w:id="1777" w:name="_Toc393428076"/>
      <w:bookmarkStart w:id="1778" w:name="_Toc1265090131"/>
      <w:bookmarkStart w:id="1779" w:name="_Toc1276824229"/>
      <w:bookmarkStart w:id="1780" w:name="_Toc1283481860"/>
      <w:bookmarkStart w:id="1781" w:name="_Toc37786501"/>
      <w:bookmarkStart w:id="1782" w:name="_Toc674552982"/>
      <w:bookmarkStart w:id="1783" w:name="_Toc1826546242"/>
      <w:bookmarkStart w:id="1784" w:name="_Toc1724649887"/>
      <w:bookmarkStart w:id="1785" w:name="_Toc1786572316"/>
      <w:bookmarkStart w:id="1786" w:name="_Toc971730866"/>
      <w:bookmarkStart w:id="1787" w:name="_Toc1107724170"/>
      <w:bookmarkStart w:id="1788" w:name="_Toc1694877531"/>
      <w:bookmarkStart w:id="1789" w:name="_Toc975520262"/>
      <w:bookmarkStart w:id="1790" w:name="_Toc347759208"/>
      <w:bookmarkStart w:id="1791" w:name="_Toc710418978"/>
      <w:bookmarkStart w:id="1792" w:name="_Toc136489119"/>
      <w:bookmarkStart w:id="1793" w:name="_Toc1763459019"/>
      <w:bookmarkStart w:id="1794" w:name="_Toc480725599"/>
      <w:bookmarkStart w:id="1795" w:name="_Toc1341416201"/>
      <w:bookmarkStart w:id="1796" w:name="_Toc1469989628"/>
      <w:bookmarkStart w:id="1797" w:name="_Toc862929425"/>
      <w:bookmarkStart w:id="1798" w:name="_Toc1090629331"/>
      <w:bookmarkStart w:id="1799" w:name="_Toc1352153609"/>
      <w:bookmarkStart w:id="1800" w:name="_Toc1523808856"/>
      <w:bookmarkStart w:id="1801" w:name="_Toc239862927"/>
      <w:r>
        <w:rPr>
          <w:rFonts w:eastAsia="Georgia"/>
          <w:b/>
          <w:bCs/>
          <w:color w:val="1F3A5F"/>
        </w:rPr>
        <w:t>C</w:t>
      </w:r>
      <w:r w:rsidR="00995D1A" w:rsidRPr="0041421A">
        <w:rPr>
          <w:rFonts w:eastAsia="Georgia"/>
          <w:b/>
          <w:bCs/>
          <w:color w:val="1F3A5F"/>
        </w:rPr>
        <w:t xml:space="preserve">. </w:t>
      </w:r>
      <w:r w:rsidR="007E2E9E">
        <w:rPr>
          <w:rFonts w:eastAsia="Georgia"/>
          <w:b/>
          <w:bCs/>
          <w:color w:val="1F3A5F"/>
        </w:rPr>
        <w:t>Relevant Enabling Virginia Legislation</w:t>
      </w:r>
      <w:bookmarkEnd w:id="1801"/>
    </w:p>
    <w:p w14:paraId="13FF24E0" w14:textId="77777777" w:rsidR="007E2E9E" w:rsidRDefault="007E2E9E" w:rsidP="007E2E9E">
      <w:pPr>
        <w:spacing w:after="200"/>
      </w:pPr>
      <w:r>
        <w:t>Over the past eight years, the Virginia General Assembly has passed a series of relevant legislation to support greater adoption of renewable energy resources and dispatchable resources to mitigate growing strain on Virginia's grid infrastructure. This legislation, listed below, provides a foundation for the DER Task Force's recommendations.</w:t>
      </w:r>
    </w:p>
    <w:p w14:paraId="3E366C1C" w14:textId="77777777" w:rsidR="007E2E9E" w:rsidRDefault="007E2E9E" w:rsidP="003A7E6F">
      <w:pPr>
        <w:pStyle w:val="ListParagraph"/>
        <w:numPr>
          <w:ilvl w:val="0"/>
          <w:numId w:val="6"/>
        </w:numPr>
        <w:spacing w:after="160"/>
      </w:pPr>
      <w:r>
        <w:rPr>
          <w:b/>
          <w:bCs/>
        </w:rPr>
        <w:t>Grid Transformation and Security Act (2018)</w:t>
      </w:r>
      <w:r>
        <w:t xml:space="preserve"> — established Virginia's first battery storage mandate: State Corporation Commission pilot programs for up to 30 MW (Dominion Energy) and 10 MW (Appalachian Power), an initial pilot-scale target that preceded the VCEA's 2020 target.</w:t>
      </w:r>
      <w:r>
        <w:rPr>
          <w:rStyle w:val="FootnoteReference"/>
        </w:rPr>
        <w:footnoteReference w:id="60"/>
      </w:r>
    </w:p>
    <w:p w14:paraId="48DE33A1" w14:textId="77777777" w:rsidR="007E2E9E" w:rsidRDefault="007E2E9E" w:rsidP="003A7E6F">
      <w:pPr>
        <w:pStyle w:val="ListParagraph"/>
        <w:numPr>
          <w:ilvl w:val="0"/>
          <w:numId w:val="6"/>
        </w:numPr>
        <w:spacing w:after="160"/>
      </w:pPr>
      <w:r>
        <w:rPr>
          <w:b/>
          <w:bCs/>
        </w:rPr>
        <w:t>Virginia Clean Economy Act (2020)</w:t>
      </w:r>
      <w:r>
        <w:t xml:space="preserve"> — foundational mandate: 16,100 MW of solar/onshore wind and up to 5,200 MW of offshore wind by 2035; 100% carbon-free electricity by 2045 (Dominion) and 2050 (Appalachian Power); original combined storage target of 3,100 MW (2,700 MW Dominion / 400 MW Appalachian Power) by 2035.</w:t>
      </w:r>
      <w:r>
        <w:rPr>
          <w:rStyle w:val="FootnoteReference"/>
        </w:rPr>
        <w:footnoteReference w:id="61"/>
      </w:r>
    </w:p>
    <w:p w14:paraId="0F6F8FF1" w14:textId="77777777" w:rsidR="007E2E9E" w:rsidRDefault="007E2E9E" w:rsidP="003A7E6F">
      <w:pPr>
        <w:pStyle w:val="ListParagraph"/>
        <w:numPr>
          <w:ilvl w:val="0"/>
          <w:numId w:val="6"/>
        </w:numPr>
        <w:spacing w:after="160"/>
      </w:pPr>
      <w:r>
        <w:rPr>
          <w:b/>
          <w:bCs/>
        </w:rPr>
        <w:t>HB 285 / SB 223 (2026, Chapters 1042/997)</w:t>
      </w:r>
      <w:r>
        <w:t xml:space="preserve"> — establishes the Distributed Energy Resources Task Force itself, with a July 1, 2027 sunset.</w:t>
      </w:r>
      <w:r>
        <w:rPr>
          <w:rStyle w:val="FootnoteReference"/>
        </w:rPr>
        <w:footnoteReference w:id="62"/>
      </w:r>
    </w:p>
    <w:p w14:paraId="45F1CBF8" w14:textId="77777777" w:rsidR="007E2E9E" w:rsidRDefault="007E2E9E" w:rsidP="003A7E6F">
      <w:pPr>
        <w:pStyle w:val="ListParagraph"/>
        <w:numPr>
          <w:ilvl w:val="0"/>
          <w:numId w:val="6"/>
        </w:numPr>
        <w:spacing w:after="160"/>
      </w:pPr>
      <w:r>
        <w:rPr>
          <w:b/>
          <w:bCs/>
        </w:rPr>
        <w:t>SB 254 / HB 807 (2026)</w:t>
      </w:r>
      <w:r>
        <w:t xml:space="preserve"> — expands Dominion's shared solar program by 525 MW (450 MW capped at no more than 51% low-income subscribers, 75 MW reserved for majority-low-income projects), effective by the earlier of 90% subscription/substantial construction or July 1, 2026, with a further 268 MW “part three” phase contemplated; mandates an SCC cost-benefit review, regulatory updates by December 31, 2026, and utility tariff filings by March 1, 2027.</w:t>
      </w:r>
      <w:r>
        <w:rPr>
          <w:rStyle w:val="FootnoteReference"/>
        </w:rPr>
        <w:footnoteReference w:id="63"/>
      </w:r>
    </w:p>
    <w:p w14:paraId="682AC481" w14:textId="77777777" w:rsidR="007E2E9E" w:rsidRDefault="007E2E9E" w:rsidP="003A7E6F">
      <w:pPr>
        <w:pStyle w:val="ListParagraph"/>
        <w:numPr>
          <w:ilvl w:val="0"/>
          <w:numId w:val="6"/>
        </w:numPr>
        <w:spacing w:after="160"/>
      </w:pPr>
      <w:r>
        <w:rPr>
          <w:b/>
          <w:bCs/>
        </w:rPr>
        <w:t>SB 255 / HB 809 (2026)</w:t>
      </w:r>
      <w:r>
        <w:t xml:space="preserve"> — expands Appalachian Power's shared solar program by 50 MW (July 1, 2026) and a further 50 MW (January 1, 2028), requires consolidated “net crediting” billing, and directs a further SCC expansion proceeding by May 1, 2029.</w:t>
      </w:r>
      <w:r>
        <w:rPr>
          <w:rStyle w:val="FootnoteReference"/>
        </w:rPr>
        <w:footnoteReference w:id="64"/>
      </w:r>
    </w:p>
    <w:p w14:paraId="4BC179C8" w14:textId="77777777" w:rsidR="007E2E9E" w:rsidRDefault="007E2E9E" w:rsidP="003A7E6F">
      <w:pPr>
        <w:pStyle w:val="ListParagraph"/>
        <w:numPr>
          <w:ilvl w:val="0"/>
          <w:numId w:val="6"/>
        </w:numPr>
        <w:spacing w:after="160"/>
      </w:pPr>
      <w:r>
        <w:rPr>
          <w:b/>
          <w:bCs/>
        </w:rPr>
        <w:t>HB 895 / SB 448 (2026)</w:t>
      </w:r>
      <w:r>
        <w:t xml:space="preserve"> — raises the combined Dominion/Appalachian Power storage target from 3,100 MW (VCEA, 2020) to approximately 21,300 MW (Dominion: 16,000 MW short-duration + 4,000 MW long-duration, by 2045; Appalachian Power: 780 MW short-duration, by 2040, + 520 MW long-duration, by 2045), with 20% of the long-duration target sited in the coalfield region; contingent on an SCC viability determination due by March 1, 2031, which may adjust the targets downward. Creates separate short-duration and long-duration procurement categories and directs the Department of Energy to develop model local ordinances.</w:t>
      </w:r>
      <w:r>
        <w:rPr>
          <w:rStyle w:val="FootnoteReference"/>
        </w:rPr>
        <w:footnoteReference w:id="65"/>
      </w:r>
    </w:p>
    <w:p w14:paraId="5869BD3B" w14:textId="77777777" w:rsidR="007E2E9E" w:rsidRDefault="007E2E9E" w:rsidP="003A7E6F">
      <w:pPr>
        <w:pStyle w:val="ListParagraph"/>
        <w:numPr>
          <w:ilvl w:val="0"/>
          <w:numId w:val="6"/>
        </w:numPr>
        <w:spacing w:after="160"/>
      </w:pPr>
      <w:r>
        <w:rPr>
          <w:b/>
          <w:bCs/>
        </w:rPr>
        <w:t>HB 284 (2026)</w:t>
      </w:r>
      <w:r>
        <w:t xml:space="preserve"> — requires Dominion and Appalachian Power to petition the SCC by January 15, 2027 for approval of voluntary demand-flexibility programs targeting high-energy-demand customers (25 MW+ demand, 75%+ load factor); electric cooperatives serving comparable customers must establish similar programs by January 1, 2029.</w:t>
      </w:r>
      <w:r>
        <w:rPr>
          <w:rStyle w:val="FootnoteReference"/>
        </w:rPr>
        <w:footnoteReference w:id="66"/>
      </w:r>
    </w:p>
    <w:p w14:paraId="6B8D5686" w14:textId="77777777" w:rsidR="007E2E9E" w:rsidRDefault="007E2E9E" w:rsidP="003A7E6F">
      <w:pPr>
        <w:pStyle w:val="ListParagraph"/>
        <w:numPr>
          <w:ilvl w:val="0"/>
          <w:numId w:val="6"/>
        </w:numPr>
        <w:spacing w:after="160"/>
      </w:pPr>
      <w:r>
        <w:rPr>
          <w:b/>
          <w:bCs/>
        </w:rPr>
        <w:t>HB 434 / SB 621 (2026, Chapters 611/612)</w:t>
      </w:r>
      <w:r>
        <w:t xml:space="preserve"> — requires Dominion and Appalachian Power to petition the SCC, by October 15, 2026, for approval of electric grid utilization metrics comparing current grid performance to optimal utilization of existing assets, including analysis of non-wires alternatives.</w:t>
      </w:r>
      <w:r>
        <w:rPr>
          <w:rStyle w:val="FootnoteReference"/>
        </w:rPr>
        <w:footnoteReference w:id="67"/>
      </w:r>
    </w:p>
    <w:p w14:paraId="283D4792" w14:textId="77777777" w:rsidR="007E2E9E" w:rsidRDefault="007E2E9E" w:rsidP="003A7E6F">
      <w:pPr>
        <w:pStyle w:val="ListParagraph"/>
        <w:numPr>
          <w:ilvl w:val="0"/>
          <w:numId w:val="6"/>
        </w:numPr>
        <w:spacing w:after="160"/>
      </w:pPr>
      <w:r>
        <w:rPr>
          <w:b/>
          <w:bCs/>
        </w:rPr>
        <w:t>HB 628 / SB 175 (2026) — “Distributed Generation Expansion Act”</w:t>
      </w:r>
      <w:r>
        <w:t xml:space="preserve"> — Expands the VCEA's behind-the-meter distributed-generation RPS carve-out from 1% to 4.5% of retail sales for compliance years 2026–2030, rising to 5% for 2031–2045; delays Dominion's requirement that 75% of distributed-generation RECs be Virginia-sited from 2025 to 2027; and removes the prior capacity restriction on the residential third-party power purchase agreement pilot.</w:t>
      </w:r>
      <w:r>
        <w:rPr>
          <w:rStyle w:val="FootnoteReference"/>
        </w:rPr>
        <w:footnoteReference w:id="68"/>
      </w:r>
    </w:p>
    <w:p w14:paraId="51EF6D4D" w14:textId="77777777" w:rsidR="007E2E9E" w:rsidRDefault="007E2E9E" w:rsidP="003A7E6F">
      <w:pPr>
        <w:pStyle w:val="ListParagraph"/>
        <w:numPr>
          <w:ilvl w:val="0"/>
          <w:numId w:val="6"/>
        </w:numPr>
        <w:spacing w:after="160"/>
      </w:pPr>
      <w:r>
        <w:rPr>
          <w:b/>
          <w:bCs/>
        </w:rPr>
        <w:t>HB 1255 (2026)</w:t>
      </w:r>
      <w:r>
        <w:t xml:space="preserve"> — raises the net-metering standby-charge threshold from 15 kW to 20 kW.</w:t>
      </w:r>
      <w:r>
        <w:rPr>
          <w:rStyle w:val="FootnoteReference"/>
        </w:rPr>
        <w:footnoteReference w:id="69"/>
      </w:r>
    </w:p>
    <w:p w14:paraId="694104D4" w14:textId="77777777" w:rsidR="007E2E9E" w:rsidRDefault="007E2E9E" w:rsidP="003A7E6F">
      <w:pPr>
        <w:pStyle w:val="ListParagraph"/>
        <w:numPr>
          <w:ilvl w:val="0"/>
          <w:numId w:val="6"/>
        </w:numPr>
        <w:spacing w:after="160"/>
      </w:pPr>
      <w:r>
        <w:rPr>
          <w:b/>
          <w:bCs/>
        </w:rPr>
        <w:t>SB 823 / HB 590 (2026) — Residential solar consumer-protection legislation</w:t>
      </w:r>
      <w:r>
        <w:t xml:space="preserve"> — requires a standardized consumer disclosure form, laying out system specifications, costs, and financing terms, to be signed prior to contract execution for residential solar installations.</w:t>
      </w:r>
      <w:r>
        <w:rPr>
          <w:rStyle w:val="FootnoteReference"/>
        </w:rPr>
        <w:footnoteReference w:id="70"/>
      </w:r>
    </w:p>
    <w:p w14:paraId="7E631B65" w14:textId="77777777" w:rsidR="007E2E9E" w:rsidRDefault="007E2E9E" w:rsidP="003A7E6F">
      <w:pPr>
        <w:pStyle w:val="ListParagraph"/>
        <w:numPr>
          <w:ilvl w:val="0"/>
          <w:numId w:val="6"/>
        </w:numPr>
        <w:spacing w:after="160"/>
      </w:pPr>
      <w:r>
        <w:rPr>
          <w:b/>
          <w:bCs/>
        </w:rPr>
        <w:t>SB 487 / HB 562 (2026)</w:t>
      </w:r>
      <w:r>
        <w:t xml:space="preserve"> —Expands Virginia's VPP pilot program authority (originally established for Dominion under SB 1100/HB 2346, 2025) to electric cooperatives. Signed March 31, 2026.</w:t>
      </w:r>
      <w:r>
        <w:rPr>
          <w:rStyle w:val="FootnoteReference"/>
        </w:rPr>
        <w:footnoteReference w:id="71"/>
      </w:r>
    </w:p>
    <w:p w14:paraId="3B1EDE7D" w14:textId="77777777" w:rsidR="007E2E9E" w:rsidRDefault="007E2E9E" w:rsidP="003A7E6F">
      <w:pPr>
        <w:pStyle w:val="ListParagraph"/>
        <w:numPr>
          <w:ilvl w:val="0"/>
          <w:numId w:val="6"/>
        </w:numPr>
        <w:spacing w:after="160"/>
      </w:pPr>
      <w:r>
        <w:rPr>
          <w:b/>
          <w:bCs/>
        </w:rPr>
        <w:t>SB 382 / HB 395 (2026) — “Smart Rooftop Permitting”</w:t>
      </w:r>
      <w:r>
        <w:t xml:space="preserve"> — Establishes a state-managed automated permitting platform for residential solar and storage systems meeting standard safety and design criteria.</w:t>
      </w:r>
      <w:r>
        <w:rPr>
          <w:rStyle w:val="FootnoteReference"/>
        </w:rPr>
        <w:footnoteReference w:id="72"/>
      </w:r>
    </w:p>
    <w:tbl>
      <w:tblPr>
        <w:tblW w:w="5000" w:type="pct"/>
        <w:tblBorders>
          <w:top w:val="single" w:sz="4" w:space="0" w:color="C6CDD4"/>
          <w:left w:val="single" w:sz="4" w:space="0" w:color="C6CDD4"/>
          <w:bottom w:val="single" w:sz="4" w:space="0" w:color="C6CDD4"/>
          <w:right w:val="single" w:sz="4" w:space="0" w:color="C6CDD4"/>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7E2E9E" w:rsidRPr="0041421A" w14:paraId="4A510929" w14:textId="77777777">
        <w:tc>
          <w:tcPr>
            <w:tcW w:w="0" w:type="auto"/>
            <w:shd w:val="clear" w:color="auto" w:fill="E9ECEF"/>
            <w:tcMar>
              <w:top w:w="160" w:type="dxa"/>
              <w:left w:w="200" w:type="dxa"/>
              <w:bottom w:w="160" w:type="dxa"/>
              <w:right w:w="200" w:type="dxa"/>
            </w:tcMar>
          </w:tcPr>
          <w:p w14:paraId="2A4A315C" w14:textId="77777777" w:rsidR="007E2E9E" w:rsidRPr="0041421A" w:rsidRDefault="007E2E9E">
            <w:pPr>
              <w:spacing w:after="80"/>
            </w:pPr>
            <w:r>
              <w:rPr>
                <w:b/>
                <w:bCs/>
                <w:color w:val="1F3A5F"/>
                <w:sz w:val="19"/>
                <w:szCs w:val="19"/>
              </w:rPr>
              <w:t>TO BE DEVELOPED</w:t>
            </w:r>
          </w:p>
          <w:p w14:paraId="7B5468FD" w14:textId="77777777" w:rsidR="007E2E9E" w:rsidRPr="0041421A" w:rsidRDefault="007E2E9E">
            <w:pPr>
              <w:spacing w:after="80"/>
            </w:pPr>
            <w:r>
              <w:rPr>
                <w:color w:val="3D4A5C"/>
                <w:sz w:val="20"/>
                <w:szCs w:val="20"/>
              </w:rPr>
              <w:t>• Confirm complete bill numbers/citations against enrolled Acts of Assembly and add any additional DER-relevant statutes the Task Force is tracking (e.g., interconnection standards, microgrid/community resilience hub provisions, permitting reform details)</w:t>
            </w:r>
          </w:p>
          <w:p w14:paraId="704CB88E" w14:textId="77777777" w:rsidR="007E2E9E" w:rsidRPr="0041421A" w:rsidRDefault="007E2E9E">
            <w:r>
              <w:rPr>
                <w:color w:val="3D4A5C"/>
                <w:sz w:val="20"/>
                <w:szCs w:val="20"/>
              </w:rPr>
              <w:t>• Cross-reference against the statutory items Task Force members flagged as needing explicit coverage: legislative audit of existing law, microgrids/community resilience hubs, and IEEE 1547-2018 / UL 1741-aligned interconnection standards</w:t>
            </w:r>
          </w:p>
        </w:tc>
      </w:tr>
    </w:tbl>
    <w:p w14:paraId="359EDF1B" w14:textId="57CFE56F" w:rsidR="00EF43DE" w:rsidRDefault="00CA3436" w:rsidP="003906D8">
      <w:pPr>
        <w:pStyle w:val="Heading2"/>
        <w:spacing w:after="160"/>
        <w:rPr>
          <w:rFonts w:eastAsia="Georgia"/>
          <w:b/>
          <w:color w:val="1F3A5F"/>
        </w:rPr>
      </w:pPr>
      <w:bookmarkStart w:id="1802" w:name="_Toc239862929"/>
      <w:r>
        <w:rPr>
          <w:rFonts w:eastAsia="Georgia"/>
          <w:b/>
          <w:color w:val="1F3A5F"/>
        </w:rPr>
        <w:t>D</w:t>
      </w:r>
      <w:r w:rsidR="006115E5">
        <w:rPr>
          <w:rFonts w:eastAsia="Georgia"/>
          <w:b/>
          <w:color w:val="1F3A5F"/>
        </w:rPr>
        <w:t xml:space="preserve">. </w:t>
      </w:r>
      <w:r w:rsidR="00F614AB">
        <w:rPr>
          <w:rFonts w:eastAsia="Georgia"/>
          <w:b/>
          <w:color w:val="1F3A5F"/>
        </w:rPr>
        <w:t xml:space="preserve">EPDI </w:t>
      </w:r>
      <w:r w:rsidR="00EF43DE">
        <w:rPr>
          <w:rFonts w:eastAsia="Georgia"/>
          <w:b/>
          <w:color w:val="1F3A5F"/>
        </w:rPr>
        <w:t xml:space="preserve">VPP Policy </w:t>
      </w:r>
      <w:r w:rsidR="00C44C44">
        <w:rPr>
          <w:rFonts w:eastAsia="Georgia"/>
          <w:b/>
          <w:color w:val="1F3A5F"/>
        </w:rPr>
        <w:t xml:space="preserve">Roadmap – Additional Detail </w:t>
      </w:r>
      <w:bookmarkEnd w:id="1802"/>
    </w:p>
    <w:p w14:paraId="12ABFCDF" w14:textId="368BE75B" w:rsidR="00CA3436" w:rsidRDefault="00CA3436" w:rsidP="00CA3436">
      <w:r>
        <w:t xml:space="preserve">[Additional detail on policy topics, current state, and minimum viable level to be added] </w:t>
      </w:r>
    </w:p>
    <w:p w14:paraId="15C7B0EE" w14:textId="77777777" w:rsidR="00C44C44" w:rsidRDefault="00C44C44" w:rsidP="00C44C44">
      <w:bookmarkStart w:id="1803" w:name="_Toc239862930"/>
    </w:p>
    <w:p w14:paraId="3C180E3C" w14:textId="2002EBBE" w:rsidR="00F614AB" w:rsidRDefault="006115E5" w:rsidP="003906D8">
      <w:pPr>
        <w:pStyle w:val="Heading2"/>
        <w:spacing w:after="160"/>
        <w:rPr>
          <w:rFonts w:eastAsia="Georgia"/>
          <w:b/>
          <w:color w:val="1F3A5F"/>
        </w:rPr>
      </w:pPr>
      <w:r>
        <w:rPr>
          <w:rFonts w:eastAsia="Georgia"/>
          <w:b/>
          <w:color w:val="1F3A5F"/>
        </w:rPr>
        <w:t xml:space="preserve">F. </w:t>
      </w:r>
      <w:r w:rsidR="00F614AB">
        <w:rPr>
          <w:rFonts w:eastAsia="Georgia"/>
          <w:b/>
          <w:color w:val="1F3A5F"/>
        </w:rPr>
        <w:t>FERC 2222</w:t>
      </w:r>
      <w:bookmarkEnd w:id="1803"/>
      <w:r w:rsidR="00CA3436">
        <w:rPr>
          <w:rFonts w:eastAsia="Georgia"/>
          <w:b/>
          <w:color w:val="1F3A5F"/>
        </w:rPr>
        <w:t xml:space="preserve"> </w:t>
      </w:r>
      <w:r w:rsidR="00C44C44">
        <w:rPr>
          <w:rFonts w:eastAsia="Georgia"/>
          <w:b/>
          <w:color w:val="1F3A5F"/>
        </w:rPr>
        <w:t xml:space="preserve">Policy Roadmap - Additional Detail </w:t>
      </w:r>
    </w:p>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14:paraId="5BFF2007" w14:textId="77777777" w:rsidR="00065C80" w:rsidRDefault="00065C80" w:rsidP="00CE2521">
      <w:pPr>
        <w:pStyle w:val="Heading2"/>
        <w:spacing w:after="160"/>
      </w:pPr>
    </w:p>
    <w:p w14:paraId="3FD3B304" w14:textId="53E27317" w:rsidR="0003034F" w:rsidRPr="0041421A" w:rsidRDefault="00C44C44" w:rsidP="00C44C44">
      <w:r>
        <w:t>[Additional detail on policy topics, current state, and minimum viable level to be added]</w:t>
      </w:r>
    </w:p>
    <w:sectPr w:rsidR="0003034F" w:rsidRPr="0041421A">
      <w:headerReference w:type="default" r:id="rId22"/>
      <w:footerReference w:type="default" r:id="rId23"/>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91" w:author="White, Louise (GOV)" w:date="2026-09-09T11:40:00Z" w:initials="LW">
    <w:p w14:paraId="5B7E09F0" w14:textId="77777777" w:rsidR="00BE3BE5" w:rsidRDefault="00BE3BE5" w:rsidP="00BE3BE5">
      <w:pPr>
        <w:pStyle w:val="CommentText"/>
      </w:pPr>
      <w:r>
        <w:rPr>
          <w:rStyle w:val="CommentReference"/>
        </w:rPr>
        <w:annotationRef/>
      </w:r>
      <w:r>
        <w:t xml:space="preserve">Did we figure out the shared solar piece (noting below the 745 MW in 2026; imagine that didn’t all happen between 24 and 26)? Sorry if I missed the answer on that. If not - should we either a) remove from here and just say this is a selection of DERs / not comprehensive, and/or b) add a “DRAFT” sticker to the chart? </w:t>
      </w:r>
    </w:p>
  </w:comment>
  <w:comment w:id="692" w:author="Andrew Kimball" w:date="2026-09-09T11:48:00Z" w:initials="A.K.">
    <w:p w14:paraId="61138C04" w14:textId="77777777" w:rsidR="008D273F" w:rsidRDefault="002D0A60" w:rsidP="008D273F">
      <w:pPr>
        <w:pStyle w:val="CommentText"/>
      </w:pPr>
      <w:r>
        <w:rPr>
          <w:rStyle w:val="CommentReference"/>
        </w:rPr>
        <w:annotationRef/>
      </w:r>
      <w:r w:rsidR="008D273F">
        <w:t>Updated with SEIA shared solar (community solar) data.</w:t>
      </w:r>
    </w:p>
  </w:comment>
  <w:comment w:id="949" w:author="Allmond, Josephus (GOV)" w:date="2026-09-09T15:40:00Z" w:initials="JA">
    <w:p w14:paraId="36039F3D" w14:textId="77777777" w:rsidR="00AD04D5" w:rsidRDefault="00AD04D5" w:rsidP="00AD04D5">
      <w:pPr>
        <w:pStyle w:val="CommentText"/>
      </w:pPr>
      <w:r>
        <w:rPr>
          <w:rStyle w:val="CommentReference"/>
        </w:rPr>
        <w:annotationRef/>
      </w:r>
      <w:r>
        <w:t>Won’t be intervening but like direction.</w:t>
      </w:r>
    </w:p>
  </w:comment>
  <w:comment w:id="999" w:author="Allmond, Josephus (GOV)" w:date="2026-09-09T15:19:00Z" w:initials="JA">
    <w:p w14:paraId="58F8502D" w14:textId="77777777" w:rsidR="00E52371" w:rsidRDefault="00E52371" w:rsidP="00E52371">
      <w:pPr>
        <w:pStyle w:val="CommentText"/>
      </w:pPr>
      <w:r>
        <w:rPr>
          <w:rStyle w:val="CommentReference"/>
        </w:rPr>
        <w:annotationRef/>
      </w:r>
      <w:r>
        <w:t>The GTSA already allows utilities to recover DER related costs (plus the same profit they get on all other investments). The real question for GTSA 2.0, if we go down that road, is how to ensure that it’s not just a blank check to the utility proposing the projects (hence the “cost-effective” addition).</w:t>
      </w:r>
    </w:p>
  </w:comment>
  <w:comment w:id="1551" w:author="White, Louise (GOV)" w:date="2026-09-09T13:52:00Z" w:initials="LW">
    <w:p w14:paraId="6AFF82B7" w14:textId="77777777" w:rsidR="00F10966" w:rsidRDefault="00F10966" w:rsidP="00F10966">
      <w:pPr>
        <w:pStyle w:val="CommentText"/>
      </w:pPr>
      <w:r>
        <w:rPr>
          <w:rStyle w:val="CommentReference"/>
        </w:rPr>
        <w:annotationRef/>
      </w:r>
      <w:r>
        <w:t xml:space="preserve">FYA - I updated this slightly. The Statute directs for SCC action by Feb 1 – not that everything has to be enacted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B7E09F0" w15:done="1"/>
  <w15:commentEx w15:paraId="61138C04" w15:paraIdParent="5B7E09F0" w15:done="1"/>
  <w15:commentEx w15:paraId="36039F3D" w15:done="1"/>
  <w15:commentEx w15:paraId="58F8502D" w15:done="0"/>
  <w15:commentEx w15:paraId="6AFF82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46A513" w16cex:dateUtc="2026-09-09T15:40:00Z"/>
  <w16cex:commentExtensible w16cex:durableId="2F5D85CD" w16cex:dateUtc="2026-09-09T15:48:00Z"/>
  <w16cex:commentExtensible w16cex:durableId="3D4552FE" w16cex:dateUtc="2026-09-09T19:40:00Z"/>
  <w16cex:commentExtensible w16cex:durableId="08A6605A" w16cex:dateUtc="2026-09-09T19:19:00Z"/>
  <w16cex:commentExtensible w16cex:durableId="19874D6D" w16cex:dateUtc="2026-09-09T17: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B7E09F0" w16cid:durableId="2B46A513"/>
  <w16cid:commentId w16cid:paraId="61138C04" w16cid:durableId="2F5D85CD"/>
  <w16cid:commentId w16cid:paraId="36039F3D" w16cid:durableId="3D4552FE"/>
  <w16cid:commentId w16cid:paraId="58F8502D" w16cid:durableId="08A6605A"/>
  <w16cid:commentId w16cid:paraId="6AFF82B7" w16cid:durableId="19874D6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AD18D" w14:textId="77777777" w:rsidR="00C4581D" w:rsidRDefault="00C4581D">
      <w:r>
        <w:separator/>
      </w:r>
    </w:p>
  </w:endnote>
  <w:endnote w:type="continuationSeparator" w:id="0">
    <w:p w14:paraId="65C9BCB2" w14:textId="77777777" w:rsidR="00C4581D" w:rsidRDefault="00C45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Yu Mincho">
    <w:altName w:val="游明朝"/>
    <w:panose1 w:val="00000000000000000000"/>
    <w:charset w:val="80"/>
    <w:family w:val="roman"/>
    <w:notTrueType/>
    <w:pitch w:val="default"/>
  </w:font>
  <w:font w:name="Roboto">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EFD1C" w14:textId="77777777" w:rsidR="005D6CE7" w:rsidRDefault="00995D1A">
    <w:pPr>
      <w:pBdr>
        <w:top w:val="single" w:sz="4" w:space="4" w:color="C6CDD4"/>
      </w:pBdr>
      <w:jc w:val="center"/>
    </w:pPr>
    <w:r>
      <w:rPr>
        <w:color w:val="6B7280"/>
        <w:sz w:val="16"/>
        <w:szCs w:val="16"/>
      </w:rPr>
      <w:t xml:space="preserve">Page </w:t>
    </w:r>
    <w:r>
      <w:rPr>
        <w:color w:val="6B7280"/>
        <w:sz w:val="16"/>
        <w:szCs w:val="16"/>
      </w:rPr>
      <w:fldChar w:fldCharType="begin"/>
    </w:r>
    <w:r>
      <w:rPr>
        <w:color w:val="6B7280"/>
        <w:sz w:val="16"/>
        <w:szCs w:val="16"/>
      </w:rPr>
      <w:instrText>PAGE</w:instrText>
    </w:r>
    <w:r>
      <w:rPr>
        <w:color w:val="6B7280"/>
        <w:sz w:val="16"/>
        <w:szCs w:val="16"/>
      </w:rPr>
      <w:fldChar w:fldCharType="separate"/>
    </w:r>
    <w:r w:rsidR="00C94ACA">
      <w:rPr>
        <w:noProof/>
        <w:color w:val="6B7280"/>
        <w:sz w:val="16"/>
        <w:szCs w:val="16"/>
      </w:rPr>
      <w:t>1</w:t>
    </w:r>
    <w:r>
      <w:rPr>
        <w:color w:val="6B7280"/>
        <w:sz w:val="16"/>
        <w:szCs w:val="16"/>
      </w:rPr>
      <w:fldChar w:fldCharType="end"/>
    </w:r>
    <w:r>
      <w:rPr>
        <w:color w:val="6B7280"/>
        <w:sz w:val="16"/>
        <w:szCs w:val="16"/>
      </w:rPr>
      <w:t xml:space="preserve"> of </w:t>
    </w:r>
    <w:r>
      <w:rPr>
        <w:color w:val="6B7280"/>
        <w:sz w:val="16"/>
        <w:szCs w:val="16"/>
      </w:rPr>
      <w:fldChar w:fldCharType="begin"/>
    </w:r>
    <w:r>
      <w:rPr>
        <w:color w:val="6B7280"/>
        <w:sz w:val="16"/>
        <w:szCs w:val="16"/>
      </w:rPr>
      <w:instrText>NUMPAGES</w:instrText>
    </w:r>
    <w:r>
      <w:rPr>
        <w:color w:val="6B7280"/>
        <w:sz w:val="16"/>
        <w:szCs w:val="16"/>
      </w:rPr>
      <w:fldChar w:fldCharType="separate"/>
    </w:r>
    <w:r w:rsidR="00C94ACA">
      <w:rPr>
        <w:noProof/>
        <w:color w:val="6B7280"/>
        <w:sz w:val="16"/>
        <w:szCs w:val="16"/>
      </w:rPr>
      <w:t>1</w:t>
    </w:r>
    <w:r>
      <w:rPr>
        <w:color w:val="6B728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68090" w14:textId="77777777" w:rsidR="005D6CE7" w:rsidRDefault="00995D1A">
    <w:pPr>
      <w:pBdr>
        <w:top w:val="single" w:sz="4" w:space="4" w:color="C6CDD4"/>
      </w:pBdr>
      <w:jc w:val="center"/>
    </w:pPr>
    <w:r>
      <w:rPr>
        <w:color w:val="6B7280"/>
        <w:sz w:val="16"/>
        <w:szCs w:val="16"/>
      </w:rPr>
      <w:t xml:space="preserve">Page </w:t>
    </w:r>
    <w:r>
      <w:rPr>
        <w:color w:val="6B7280"/>
        <w:sz w:val="16"/>
        <w:szCs w:val="16"/>
      </w:rPr>
      <w:fldChar w:fldCharType="begin"/>
    </w:r>
    <w:r>
      <w:rPr>
        <w:color w:val="6B7280"/>
        <w:sz w:val="16"/>
        <w:szCs w:val="16"/>
      </w:rPr>
      <w:instrText>PAGE</w:instrText>
    </w:r>
    <w:r>
      <w:rPr>
        <w:color w:val="6B7280"/>
        <w:sz w:val="16"/>
        <w:szCs w:val="16"/>
      </w:rPr>
      <w:fldChar w:fldCharType="separate"/>
    </w:r>
    <w:r w:rsidR="00C94ACA">
      <w:rPr>
        <w:noProof/>
        <w:color w:val="6B7280"/>
        <w:sz w:val="16"/>
        <w:szCs w:val="16"/>
      </w:rPr>
      <w:t>1</w:t>
    </w:r>
    <w:r>
      <w:rPr>
        <w:color w:val="6B7280"/>
        <w:sz w:val="16"/>
        <w:szCs w:val="16"/>
      </w:rPr>
      <w:fldChar w:fldCharType="end"/>
    </w:r>
    <w:r>
      <w:rPr>
        <w:color w:val="6B7280"/>
        <w:sz w:val="16"/>
        <w:szCs w:val="16"/>
      </w:rPr>
      <w:t xml:space="preserve"> of </w:t>
    </w:r>
    <w:r>
      <w:rPr>
        <w:color w:val="6B7280"/>
        <w:sz w:val="16"/>
        <w:szCs w:val="16"/>
      </w:rPr>
      <w:fldChar w:fldCharType="begin"/>
    </w:r>
    <w:r>
      <w:rPr>
        <w:color w:val="6B7280"/>
        <w:sz w:val="16"/>
        <w:szCs w:val="16"/>
      </w:rPr>
      <w:instrText>NUMPAGES</w:instrText>
    </w:r>
    <w:r>
      <w:rPr>
        <w:color w:val="6B7280"/>
        <w:sz w:val="16"/>
        <w:szCs w:val="16"/>
      </w:rPr>
      <w:fldChar w:fldCharType="separate"/>
    </w:r>
    <w:r w:rsidR="00C94ACA">
      <w:rPr>
        <w:noProof/>
        <w:color w:val="6B7280"/>
        <w:sz w:val="16"/>
        <w:szCs w:val="16"/>
      </w:rPr>
      <w:t>1</w:t>
    </w:r>
    <w:r>
      <w:rPr>
        <w:color w:val="6B72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9F6B9" w14:textId="77777777" w:rsidR="00C4581D" w:rsidRDefault="00C4581D">
      <w:r>
        <w:separator/>
      </w:r>
    </w:p>
  </w:footnote>
  <w:footnote w:type="continuationSeparator" w:id="0">
    <w:p w14:paraId="10BA3D9A" w14:textId="77777777" w:rsidR="00C4581D" w:rsidRDefault="00C4581D">
      <w:r>
        <w:continuationSeparator/>
      </w:r>
    </w:p>
  </w:footnote>
  <w:footnote w:id="1">
    <w:p w14:paraId="414B596F" w14:textId="2EBC17C9" w:rsidR="00E100DB" w:rsidRPr="00181E57" w:rsidRDefault="00E100DB">
      <w:pPr>
        <w:pStyle w:val="FootnoteText"/>
        <w:rPr>
          <w:sz w:val="16"/>
          <w:szCs w:val="16"/>
        </w:rPr>
      </w:pPr>
      <w:r w:rsidRPr="00181E57">
        <w:rPr>
          <w:rStyle w:val="FootnoteReference"/>
          <w:sz w:val="16"/>
          <w:szCs w:val="16"/>
        </w:rPr>
        <w:footnoteRef/>
      </w:r>
      <w:r w:rsidRPr="00181E57">
        <w:rPr>
          <w:sz w:val="16"/>
          <w:szCs w:val="16"/>
        </w:rPr>
        <w:t xml:space="preserve"> See Appendix A for the full roster of VA DER Task Force members.</w:t>
      </w:r>
    </w:p>
  </w:footnote>
  <w:footnote w:id="2">
    <w:p w14:paraId="32073A81" w14:textId="2367FB19" w:rsidR="00FF717F" w:rsidRPr="00181E57" w:rsidRDefault="00FF717F">
      <w:pPr>
        <w:pStyle w:val="FootnoteText"/>
        <w:rPr>
          <w:sz w:val="16"/>
          <w:szCs w:val="16"/>
        </w:rPr>
      </w:pPr>
      <w:r w:rsidRPr="00181E57">
        <w:rPr>
          <w:rStyle w:val="FootnoteReference"/>
          <w:sz w:val="16"/>
          <w:szCs w:val="16"/>
        </w:rPr>
        <w:footnoteRef/>
      </w:r>
      <w:r w:rsidRPr="00181E57">
        <w:rPr>
          <w:sz w:val="16"/>
          <w:szCs w:val="16"/>
        </w:rPr>
        <w:t xml:space="preserve"> </w:t>
      </w:r>
      <w:r w:rsidR="00FA4939" w:rsidRPr="00181E57">
        <w:rPr>
          <w:sz w:val="16"/>
          <w:szCs w:val="16"/>
        </w:rPr>
        <w:t>Va.</w:t>
      </w:r>
      <w:r w:rsidR="00AD0C2A" w:rsidRPr="00181E57">
        <w:rPr>
          <w:sz w:val="16"/>
          <w:szCs w:val="16"/>
        </w:rPr>
        <w:t xml:space="preserve"> H.B. 2</w:t>
      </w:r>
      <w:r w:rsidR="00C00DC9" w:rsidRPr="00181E57">
        <w:rPr>
          <w:sz w:val="16"/>
          <w:szCs w:val="16"/>
        </w:rPr>
        <w:t>85 /</w:t>
      </w:r>
      <w:r w:rsidR="00FA4939" w:rsidRPr="00181E57">
        <w:rPr>
          <w:sz w:val="16"/>
          <w:szCs w:val="16"/>
        </w:rPr>
        <w:t xml:space="preserve"> S.B. 223, </w:t>
      </w:r>
      <w:r w:rsidR="001B6E5A" w:rsidRPr="00181E57">
        <w:rPr>
          <w:i/>
          <w:sz w:val="16"/>
          <w:szCs w:val="16"/>
        </w:rPr>
        <w:t>A Bill to establish the Distributed Energy Resources Task Force; reports; sunset. 2026.</w:t>
      </w:r>
    </w:p>
  </w:footnote>
  <w:footnote w:id="3">
    <w:p w14:paraId="121EF6F6" w14:textId="7D2EDA9F" w:rsidR="00222596" w:rsidRDefault="00222596" w:rsidP="00222596">
      <w:pPr>
        <w:pStyle w:val="FootnoteText"/>
      </w:pPr>
      <w:r>
        <w:rPr>
          <w:rStyle w:val="FootnoteReference"/>
        </w:rPr>
        <w:footnoteRef/>
      </w:r>
      <w:r>
        <w:t xml:space="preserve"> </w:t>
      </w:r>
      <w:r w:rsidRPr="000C34A3">
        <w:rPr>
          <w:sz w:val="16"/>
          <w:szCs w:val="16"/>
        </w:rPr>
        <w:t>See the DER Task Force Participative Planning Report for additional detail</w:t>
      </w:r>
      <w:r>
        <w:rPr>
          <w:sz w:val="16"/>
          <w:szCs w:val="16"/>
        </w:rPr>
        <w:t xml:space="preserve"> on stakeholder input processes. </w:t>
      </w:r>
      <w:r w:rsidRPr="000C34A3">
        <w:rPr>
          <w:sz w:val="16"/>
          <w:szCs w:val="16"/>
        </w:rPr>
        <w:t xml:space="preserve"> </w:t>
      </w:r>
    </w:p>
  </w:footnote>
  <w:footnote w:id="4">
    <w:p w14:paraId="388146AE" w14:textId="77777777" w:rsidR="00883728" w:rsidRPr="00181E57" w:rsidRDefault="00883728" w:rsidP="00883728">
      <w:pPr>
        <w:rPr>
          <w:sz w:val="16"/>
          <w:szCs w:val="16"/>
        </w:rPr>
      </w:pPr>
      <w:r w:rsidRPr="00181E57">
        <w:rPr>
          <w:rStyle w:val="FootnoteReference"/>
          <w:sz w:val="16"/>
          <w:szCs w:val="16"/>
        </w:rPr>
        <w:footnoteRef/>
      </w:r>
      <w:r w:rsidRPr="00181E57">
        <w:rPr>
          <w:sz w:val="16"/>
          <w:szCs w:val="16"/>
        </w:rPr>
        <w:t xml:space="preserve">National Association of Regulatory Utility Commissioners and National Association of State Energy Officials, </w:t>
      </w:r>
      <w:r w:rsidRPr="00181E57">
        <w:rPr>
          <w:i/>
          <w:sz w:val="16"/>
          <w:szCs w:val="16"/>
        </w:rPr>
        <w:t>Aggregated Distributed Energy Resources in 2024: The Fundamentals</w:t>
      </w:r>
      <w:r w:rsidRPr="00181E57">
        <w:rPr>
          <w:sz w:val="16"/>
          <w:szCs w:val="16"/>
        </w:rPr>
        <w:t xml:space="preserve"> (July 2024), </w:t>
      </w:r>
      <w:hyperlink r:id="rId1" w:history="1">
        <w:r w:rsidRPr="00181E57">
          <w:rPr>
            <w:rStyle w:val="Hyperlink"/>
            <w:sz w:val="16"/>
            <w:szCs w:val="16"/>
          </w:rPr>
          <w:t>https://www.naruc.org/core-sectors/energy-resources-and-the-environment/der-integration-compensation/</w:t>
        </w:r>
      </w:hyperlink>
      <w:r w:rsidRPr="00181E57">
        <w:rPr>
          <w:sz w:val="16"/>
          <w:szCs w:val="16"/>
        </w:rPr>
        <w:t>.</w:t>
      </w:r>
    </w:p>
  </w:footnote>
  <w:footnote w:id="5">
    <w:p w14:paraId="52814CE3" w14:textId="77777777" w:rsidR="00883728" w:rsidRPr="00A83026" w:rsidRDefault="00883728" w:rsidP="00883728">
      <w:pPr>
        <w:rPr>
          <w:sz w:val="20"/>
          <w:szCs w:val="20"/>
        </w:rPr>
      </w:pPr>
      <w:r w:rsidRPr="00181E57">
        <w:rPr>
          <w:rStyle w:val="FootnoteReference"/>
          <w:sz w:val="16"/>
          <w:szCs w:val="16"/>
        </w:rPr>
        <w:footnoteRef/>
      </w:r>
      <w:r w:rsidRPr="00181E57">
        <w:rPr>
          <w:sz w:val="16"/>
          <w:szCs w:val="16"/>
        </w:rPr>
        <w:t xml:space="preserve">The Pew Charitable Trusts, </w:t>
      </w:r>
      <w:r w:rsidRPr="00181E57">
        <w:rPr>
          <w:i/>
          <w:sz w:val="16"/>
          <w:szCs w:val="16"/>
        </w:rPr>
        <w:t>Distributed Energy Can Unleash the Resilient, Affordable Grid of the Future</w:t>
      </w:r>
      <w:r w:rsidRPr="00181E57">
        <w:rPr>
          <w:sz w:val="16"/>
          <w:szCs w:val="16"/>
        </w:rPr>
        <w:t xml:space="preserve"> (Apr. 28, 2026), </w:t>
      </w:r>
      <w:hyperlink r:id="rId2" w:history="1">
        <w:r w:rsidRPr="00181E57">
          <w:rPr>
            <w:rStyle w:val="Hyperlink"/>
            <w:sz w:val="16"/>
            <w:szCs w:val="16"/>
          </w:rPr>
          <w:t>https://www.pew.org/en/research-and-analysis/reports/2026/04/distributed-energy-can-unleash-the-resilient-affordable-grid-of-the-future</w:t>
        </w:r>
      </w:hyperlink>
      <w:r w:rsidRPr="00181E57">
        <w:rPr>
          <w:sz w:val="16"/>
          <w:szCs w:val="16"/>
        </w:rPr>
        <w:t>.</w:t>
      </w:r>
    </w:p>
  </w:footnote>
  <w:footnote w:id="6">
    <w:p w14:paraId="24B8E8E0" w14:textId="77777777" w:rsidR="005B6B1C" w:rsidRPr="00181E57" w:rsidRDefault="005B6B1C" w:rsidP="005B6B1C">
      <w:pPr>
        <w:rPr>
          <w:sz w:val="16"/>
          <w:szCs w:val="16"/>
        </w:rPr>
      </w:pPr>
      <w:r w:rsidRPr="00181E57">
        <w:rPr>
          <w:rStyle w:val="FootnoteReference"/>
          <w:sz w:val="16"/>
          <w:szCs w:val="16"/>
        </w:rPr>
        <w:footnoteRef/>
      </w:r>
      <w:r w:rsidRPr="00181E57">
        <w:rPr>
          <w:sz w:val="16"/>
          <w:szCs w:val="16"/>
        </w:rPr>
        <w:t xml:space="preserve">Code of Virginia § 56-585.1:16, </w:t>
      </w:r>
      <w:r w:rsidRPr="00181E57">
        <w:rPr>
          <w:i/>
          <w:sz w:val="16"/>
          <w:szCs w:val="16"/>
        </w:rPr>
        <w:t>Virtual power plant pilot program</w:t>
      </w:r>
      <w:r w:rsidRPr="00181E57">
        <w:rPr>
          <w:sz w:val="16"/>
          <w:szCs w:val="16"/>
        </w:rPr>
        <w:t xml:space="preserve"> (enacted as HB 2346/SB 1100, “Community Energy Act,” 2025), </w:t>
      </w:r>
      <w:hyperlink r:id="rId3" w:history="1">
        <w:r w:rsidRPr="00181E57">
          <w:rPr>
            <w:rStyle w:val="Hyperlink"/>
            <w:sz w:val="16"/>
            <w:szCs w:val="16"/>
          </w:rPr>
          <w:t>https://law.lis.virginia.gov/vacode/title56/chapter23/section56-585.1:16/</w:t>
        </w:r>
      </w:hyperlink>
      <w:r w:rsidRPr="00181E57">
        <w:rPr>
          <w:sz w:val="16"/>
          <w:szCs w:val="16"/>
        </w:rPr>
        <w:t>.</w:t>
      </w:r>
    </w:p>
  </w:footnote>
  <w:footnote w:id="7">
    <w:p w14:paraId="64CA9E75" w14:textId="656E37FA" w:rsidR="005B6B1C" w:rsidRPr="00181E57" w:rsidRDefault="005B6B1C" w:rsidP="005B6B1C">
      <w:pPr>
        <w:rPr>
          <w:sz w:val="16"/>
          <w:szCs w:val="16"/>
        </w:rPr>
      </w:pPr>
      <w:r w:rsidRPr="00181E57">
        <w:rPr>
          <w:rStyle w:val="FootnoteReference"/>
          <w:sz w:val="16"/>
          <w:szCs w:val="16"/>
        </w:rPr>
        <w:footnoteRef/>
      </w:r>
      <w:r w:rsidRPr="00181E57">
        <w:rPr>
          <w:sz w:val="16"/>
          <w:szCs w:val="16"/>
        </w:rPr>
        <w:t xml:space="preserve">Federal Energy Regulatory Commission, “Order No. 2222 Fact Sheet,” </w:t>
      </w:r>
      <w:hyperlink r:id="rId4" w:history="1">
        <w:r w:rsidRPr="00181E57">
          <w:rPr>
            <w:rStyle w:val="Hyperlink"/>
            <w:sz w:val="16"/>
            <w:szCs w:val="16"/>
          </w:rPr>
          <w:t>https://www.ferc.gov/media/ferc-order-no-2222-fact-sheet</w:t>
        </w:r>
      </w:hyperlink>
      <w:r w:rsidRPr="00181E57">
        <w:rPr>
          <w:sz w:val="16"/>
          <w:szCs w:val="16"/>
        </w:rPr>
        <w:t xml:space="preserve">. </w:t>
      </w:r>
    </w:p>
  </w:footnote>
  <w:footnote w:id="8">
    <w:p w14:paraId="4C2DDA7A" w14:textId="77777777" w:rsidR="005B6B1C" w:rsidRPr="00181E57" w:rsidRDefault="005B6B1C" w:rsidP="005B6B1C">
      <w:pPr>
        <w:rPr>
          <w:sz w:val="16"/>
          <w:szCs w:val="16"/>
        </w:rPr>
      </w:pPr>
      <w:r w:rsidRPr="00181E57">
        <w:rPr>
          <w:rStyle w:val="FootnoteReference"/>
          <w:sz w:val="16"/>
          <w:szCs w:val="16"/>
        </w:rPr>
        <w:footnoteRef/>
      </w:r>
      <w:r w:rsidRPr="00181E57">
        <w:rPr>
          <w:sz w:val="16"/>
          <w:szCs w:val="16"/>
        </w:rPr>
        <w:t>Code of Virginia § 56-585.1:16 (see note 1).</w:t>
      </w:r>
    </w:p>
  </w:footnote>
  <w:footnote w:id="9">
    <w:p w14:paraId="16234A59" w14:textId="77777777" w:rsidR="005B6B1C" w:rsidRPr="00181E57" w:rsidRDefault="005B6B1C" w:rsidP="005B6B1C">
      <w:pPr>
        <w:rPr>
          <w:sz w:val="16"/>
          <w:szCs w:val="16"/>
        </w:rPr>
      </w:pPr>
      <w:r w:rsidRPr="00181E57">
        <w:rPr>
          <w:rStyle w:val="FootnoteReference"/>
          <w:sz w:val="16"/>
          <w:szCs w:val="16"/>
        </w:rPr>
        <w:footnoteRef/>
      </w:r>
      <w:r w:rsidRPr="00181E57">
        <w:rPr>
          <w:sz w:val="16"/>
          <w:szCs w:val="16"/>
        </w:rPr>
        <w:t>Code of Virginia § 56-585.1:16(B) (450 MW Phase II Utility pilot aggregation) (see note 1); already cited in Sections 3.2 and 3.3 of this report.</w:t>
      </w:r>
    </w:p>
  </w:footnote>
  <w:footnote w:id="10">
    <w:p w14:paraId="2FBDBC23" w14:textId="77777777" w:rsidR="008B5B50" w:rsidRPr="00181E57" w:rsidRDefault="008B5B50" w:rsidP="008B5B50">
      <w:pPr>
        <w:rPr>
          <w:sz w:val="16"/>
          <w:szCs w:val="16"/>
        </w:rPr>
      </w:pPr>
      <w:r w:rsidRPr="00181E57">
        <w:rPr>
          <w:rStyle w:val="FootnoteReference"/>
          <w:sz w:val="16"/>
          <w:szCs w:val="16"/>
        </w:rPr>
        <w:footnoteRef/>
      </w:r>
      <w:r w:rsidRPr="00181E57">
        <w:rPr>
          <w:sz w:val="16"/>
          <w:szCs w:val="16"/>
        </w:rPr>
        <w:t>Code of Virginia § 56-585.1:16 (see note 1), definition of “Aggregator.”</w:t>
      </w:r>
    </w:p>
  </w:footnote>
  <w:footnote w:id="11">
    <w:p w14:paraId="1CE753B3" w14:textId="77777777" w:rsidR="008B5B50" w:rsidRPr="00181E57" w:rsidRDefault="008B5B50" w:rsidP="008B5B50">
      <w:pPr>
        <w:rPr>
          <w:sz w:val="16"/>
          <w:szCs w:val="16"/>
        </w:rPr>
      </w:pPr>
      <w:r w:rsidRPr="00181E57">
        <w:rPr>
          <w:rStyle w:val="FootnoteReference"/>
          <w:sz w:val="16"/>
          <w:szCs w:val="16"/>
        </w:rPr>
        <w:footnoteRef/>
      </w:r>
      <w:r w:rsidRPr="00181E57">
        <w:rPr>
          <w:sz w:val="16"/>
          <w:szCs w:val="16"/>
        </w:rPr>
        <w:t xml:space="preserve">Federal Energy Regulatory Commission, “Order No. 2222 Explainer: Facilitating Participation in Electricity Markets by Distributed Energy Resources,” </w:t>
      </w:r>
      <w:hyperlink r:id="rId5" w:history="1">
        <w:r w:rsidRPr="00181E57">
          <w:rPr>
            <w:rStyle w:val="Hyperlink"/>
            <w:sz w:val="16"/>
            <w:szCs w:val="16"/>
          </w:rPr>
          <w:t>https://www.ferc.gov/ferc-order-no-2222-explainer-facilitating-participation-electricity-markets-distributed-energy</w:t>
        </w:r>
      </w:hyperlink>
      <w:r w:rsidRPr="00181E57">
        <w:rPr>
          <w:sz w:val="16"/>
          <w:szCs w:val="16"/>
        </w:rPr>
        <w:t xml:space="preserve">. </w:t>
      </w:r>
    </w:p>
  </w:footnote>
  <w:footnote w:id="12">
    <w:p w14:paraId="7182AA5A" w14:textId="77777777" w:rsidR="008B5B50" w:rsidRPr="00181E57" w:rsidRDefault="008B5B50" w:rsidP="008B5B50">
      <w:pPr>
        <w:rPr>
          <w:sz w:val="16"/>
          <w:szCs w:val="16"/>
        </w:rPr>
      </w:pPr>
      <w:r w:rsidRPr="00181E57">
        <w:rPr>
          <w:rStyle w:val="FootnoteReference"/>
          <w:sz w:val="16"/>
          <w:szCs w:val="16"/>
        </w:rPr>
        <w:footnoteRef/>
      </w:r>
      <w:r w:rsidRPr="00181E57">
        <w:rPr>
          <w:sz w:val="16"/>
          <w:szCs w:val="16"/>
        </w:rPr>
        <w:t xml:space="preserve">U.S. Department of Energy, Office of Electricity, microgrid definition, as reflected in DOE program materials, </w:t>
      </w:r>
      <w:hyperlink r:id="rId6" w:history="1">
        <w:r w:rsidRPr="00181E57">
          <w:rPr>
            <w:rStyle w:val="Hyperlink"/>
            <w:sz w:val="16"/>
            <w:szCs w:val="16"/>
          </w:rPr>
          <w:t>https://www.energy.gov/oe/microgrids-rd-mgrd-portfolio-activities</w:t>
        </w:r>
      </w:hyperlink>
      <w:r w:rsidRPr="00181E57">
        <w:rPr>
          <w:sz w:val="16"/>
          <w:szCs w:val="16"/>
        </w:rPr>
        <w:t>, and NIST Smart Grid Testbed documentation.</w:t>
      </w:r>
    </w:p>
  </w:footnote>
  <w:footnote w:id="13">
    <w:p w14:paraId="3CCE44F8" w14:textId="77777777" w:rsidR="008B5B50" w:rsidRDefault="008B5B50" w:rsidP="008B5B50">
      <w:r w:rsidRPr="00181E57">
        <w:rPr>
          <w:rStyle w:val="FootnoteReference"/>
          <w:sz w:val="16"/>
          <w:szCs w:val="16"/>
        </w:rPr>
        <w:footnoteRef/>
      </w:r>
      <w:r w:rsidRPr="00181E57">
        <w:rPr>
          <w:sz w:val="16"/>
          <w:szCs w:val="16"/>
        </w:rPr>
        <w:t xml:space="preserve">Description synthesized from Bloomberg Cities (Johns Hopkins University), “How can municipalities fund resilience hubs?,” </w:t>
      </w:r>
      <w:hyperlink r:id="rId7" w:history="1">
        <w:r w:rsidRPr="00181E57">
          <w:rPr>
            <w:rStyle w:val="Hyperlink"/>
            <w:sz w:val="16"/>
            <w:szCs w:val="16"/>
          </w:rPr>
          <w:t>https://bloombergcities.jhu.edu/faqs/how-can-municipalities-fund-resilience-hubs</w:t>
        </w:r>
      </w:hyperlink>
      <w:r w:rsidRPr="00181E57">
        <w:rPr>
          <w:sz w:val="16"/>
          <w:szCs w:val="16"/>
        </w:rPr>
        <w:t xml:space="preserve">. </w:t>
      </w:r>
    </w:p>
  </w:footnote>
  <w:footnote w:id="14">
    <w:p w14:paraId="5038A4C0" w14:textId="77777777" w:rsidR="008B5B50" w:rsidRDefault="008B5B50" w:rsidP="008B5B50">
      <w:r w:rsidRPr="000B44DB">
        <w:rPr>
          <w:rStyle w:val="FootnoteReference"/>
          <w:sz w:val="16"/>
          <w:szCs w:val="16"/>
        </w:rPr>
        <w:footnoteRef/>
      </w:r>
      <w:r w:rsidRPr="000B44DB">
        <w:rPr>
          <w:sz w:val="16"/>
          <w:szCs w:val="16"/>
        </w:rPr>
        <w:t xml:space="preserve">FEMA Hazard Mitigation Assistance program materials (Building Resilient Infrastructure and Communities; Hazard Mitigation Grant Program), as described in source 8 above. </w:t>
      </w:r>
    </w:p>
  </w:footnote>
  <w:footnote w:id="15">
    <w:p w14:paraId="28153E9B" w14:textId="77777777" w:rsidR="008B5B50" w:rsidRDefault="008B5B50" w:rsidP="008B5B50">
      <w:r w:rsidRPr="000B44DB">
        <w:rPr>
          <w:rStyle w:val="FootnoteReference"/>
          <w:sz w:val="16"/>
          <w:szCs w:val="16"/>
        </w:rPr>
        <w:footnoteRef/>
      </w:r>
      <w:r w:rsidRPr="000B44DB">
        <w:rPr>
          <w:sz w:val="16"/>
          <w:szCs w:val="16"/>
        </w:rPr>
        <w:t xml:space="preserve">U.S. Energy Information Administration, “Distributed Generation and Combined Heat and Power,” </w:t>
      </w:r>
      <w:hyperlink r:id="rId8" w:history="1">
        <w:r w:rsidRPr="000B44DB">
          <w:rPr>
            <w:rStyle w:val="Hyperlink"/>
            <w:sz w:val="16"/>
            <w:szCs w:val="16"/>
          </w:rPr>
          <w:t>https://www.eia.gov/analysis/studies/buildings/dg_storage_chp/</w:t>
        </w:r>
      </w:hyperlink>
      <w:r w:rsidRPr="000B44DB">
        <w:rPr>
          <w:sz w:val="16"/>
          <w:szCs w:val="16"/>
        </w:rPr>
        <w:t xml:space="preserve">. </w:t>
      </w:r>
    </w:p>
  </w:footnote>
  <w:footnote w:id="16">
    <w:p w14:paraId="520F8684" w14:textId="77777777" w:rsidR="008B5B50" w:rsidRDefault="008B5B50" w:rsidP="008B5B50"/>
  </w:footnote>
  <w:footnote w:id="17">
    <w:p w14:paraId="31896E2B" w14:textId="77777777" w:rsidR="00C032B6" w:rsidRDefault="00C032B6" w:rsidP="00C032B6">
      <w:pPr>
        <w:pStyle w:val="FootnoteText"/>
      </w:pPr>
      <w:r>
        <w:rPr>
          <w:rStyle w:val="FootnoteReference"/>
        </w:rPr>
        <w:footnoteRef/>
      </w:r>
      <w:r>
        <w:t xml:space="preserve"> U.S. DOE Pathways to Commercial Liftoff Report: Virtual Power Plants (2023). </w:t>
      </w:r>
    </w:p>
  </w:footnote>
  <w:footnote w:id="18">
    <w:p w14:paraId="192A4BA8" w14:textId="396EF7A8" w:rsidR="00C032B6" w:rsidRDefault="00C032B6">
      <w:pPr>
        <w:pStyle w:val="FootnoteText"/>
      </w:pPr>
      <w:r>
        <w:rPr>
          <w:rStyle w:val="FootnoteReference"/>
        </w:rPr>
        <w:footnoteRef/>
      </w:r>
      <w:r>
        <w:t xml:space="preserve"> U.S. DOE Pathways to Commercial Liftoff Report: Virtual Power Plants 2025 Update (2025).</w:t>
      </w:r>
    </w:p>
  </w:footnote>
  <w:footnote w:id="19">
    <w:p w14:paraId="5D1423FE" w14:textId="04A75BBE" w:rsidR="003D4413" w:rsidRPr="004F6AD1" w:rsidRDefault="003D4413">
      <w:pPr>
        <w:pStyle w:val="FootnoteText"/>
        <w:rPr>
          <w:sz w:val="16"/>
          <w:szCs w:val="16"/>
        </w:rPr>
      </w:pPr>
      <w:r w:rsidRPr="00BA6861">
        <w:rPr>
          <w:rStyle w:val="FootnoteReference"/>
          <w:sz w:val="16"/>
          <w:szCs w:val="16"/>
        </w:rPr>
        <w:footnoteRef/>
      </w:r>
      <w:r w:rsidR="007918A8" w:rsidRPr="00846B6E">
        <w:rPr>
          <w:sz w:val="16"/>
          <w:szCs w:val="16"/>
        </w:rPr>
        <w:t xml:space="preserve">Ryan Hledik, Long Lam, and Kate Peters, </w:t>
      </w:r>
      <w:r w:rsidR="007918A8" w:rsidRPr="00846B6E">
        <w:rPr>
          <w:i/>
          <w:iCs/>
          <w:sz w:val="16"/>
          <w:szCs w:val="16"/>
        </w:rPr>
        <w:t>The Untapped Grid: How Better Utilization of the Power System Can Improve Energy Affordability</w:t>
      </w:r>
      <w:r w:rsidR="007918A8" w:rsidRPr="00846B6E">
        <w:rPr>
          <w:sz w:val="16"/>
          <w:szCs w:val="16"/>
        </w:rPr>
        <w:t xml:space="preserve"> (Boston: The Brattle Group, prepared for GridLab and Utilize Coalition, March 2026), </w:t>
      </w:r>
      <w:hyperlink r:id="rId9" w:history="1">
        <w:r w:rsidR="007918A8" w:rsidRPr="00846B6E">
          <w:rPr>
            <w:color w:val="0000FF"/>
            <w:sz w:val="16"/>
            <w:szCs w:val="16"/>
            <w:u w:val="single"/>
          </w:rPr>
          <w:t>https://www.brattle.com/wp-content/uploads/2026/03/The-Untapped-Grid-Mar-2026.pdf</w:t>
        </w:r>
      </w:hyperlink>
      <w:r w:rsidR="007918A8" w:rsidRPr="00846B6E">
        <w:rPr>
          <w:sz w:val="16"/>
          <w:szCs w:val="16"/>
        </w:rPr>
        <w:t>.</w:t>
      </w:r>
    </w:p>
  </w:footnote>
  <w:footnote w:id="20">
    <w:p w14:paraId="61EE459F" w14:textId="6AF3F39A" w:rsidR="006E6C9E" w:rsidRDefault="006E6C9E">
      <w:pPr>
        <w:pStyle w:val="FootnoteText"/>
      </w:pPr>
      <w:r w:rsidRPr="004F6AD1">
        <w:rPr>
          <w:rStyle w:val="FootnoteReference"/>
          <w:sz w:val="16"/>
          <w:szCs w:val="16"/>
        </w:rPr>
        <w:footnoteRef/>
      </w:r>
      <w:r w:rsidRPr="004F6AD1">
        <w:rPr>
          <w:sz w:val="16"/>
          <w:szCs w:val="16"/>
        </w:rPr>
        <w:t xml:space="preserve"> </w:t>
      </w:r>
      <w:r w:rsidR="008A0B77" w:rsidRPr="004F6AD1">
        <w:rPr>
          <w:sz w:val="16"/>
          <w:szCs w:val="16"/>
        </w:rPr>
        <w:t>“The Demand Side Grid Support Program: An Assessment of Scale and Value”</w:t>
      </w:r>
    </w:p>
  </w:footnote>
  <w:footnote w:id="21">
    <w:p w14:paraId="1DE4A39A" w14:textId="77777777" w:rsidR="00EF5533" w:rsidRPr="00CD0B3A" w:rsidRDefault="00EF5533" w:rsidP="00EF5533">
      <w:pPr>
        <w:pStyle w:val="FootnoteText"/>
        <w:rPr>
          <w:sz w:val="16"/>
          <w:szCs w:val="16"/>
        </w:rPr>
      </w:pPr>
      <w:r w:rsidRPr="00CD0B3A">
        <w:rPr>
          <w:rStyle w:val="FootnoteReference"/>
          <w:sz w:val="16"/>
          <w:szCs w:val="16"/>
        </w:rPr>
        <w:footnoteRef/>
      </w:r>
      <w:r w:rsidRPr="00CD0B3A">
        <w:rPr>
          <w:sz w:val="16"/>
          <w:szCs w:val="16"/>
        </w:rPr>
        <w:t xml:space="preserve"> </w:t>
      </w:r>
      <w:r>
        <w:rPr>
          <w:sz w:val="16"/>
          <w:szCs w:val="16"/>
        </w:rPr>
        <w:t>“</w:t>
      </w:r>
      <w:r w:rsidRPr="00CD0B3A">
        <w:rPr>
          <w:sz w:val="16"/>
          <w:szCs w:val="16"/>
        </w:rPr>
        <w:t>Value of Distributed Energy Resources in Virginia</w:t>
      </w:r>
      <w:r>
        <w:rPr>
          <w:sz w:val="16"/>
          <w:szCs w:val="16"/>
        </w:rPr>
        <w:t>”</w:t>
      </w:r>
    </w:p>
  </w:footnote>
  <w:footnote w:id="22">
    <w:p w14:paraId="03CA0298" w14:textId="77777777" w:rsidR="00A43F99" w:rsidRDefault="00A43F99" w:rsidP="00A43F99">
      <w:pPr>
        <w:pStyle w:val="FootnoteText"/>
      </w:pPr>
      <w:r w:rsidRPr="00270064">
        <w:rPr>
          <w:rStyle w:val="FootnoteReference"/>
          <w:sz w:val="16"/>
          <w:szCs w:val="16"/>
        </w:rPr>
        <w:footnoteRef/>
      </w:r>
      <w:r w:rsidRPr="00270064">
        <w:rPr>
          <w:sz w:val="16"/>
          <w:szCs w:val="16"/>
        </w:rPr>
        <w:t xml:space="preserve"> Green Mountain Power. "GMP's Growing Stored Energy Network Delivers $6M in Savings During July Heat Wave." July 28, 2026. </w:t>
      </w:r>
      <w:hyperlink r:id="rId10" w:history="1">
        <w:r w:rsidRPr="00270064">
          <w:rPr>
            <w:rStyle w:val="Hyperlink"/>
            <w:sz w:val="16"/>
            <w:szCs w:val="16"/>
          </w:rPr>
          <w:t>https://greenmountainpower.com/news/gmps-growing-stored-energy-network-delivers-6m-in-savings-during-july-heat-wave/</w:t>
        </w:r>
      </w:hyperlink>
      <w:r w:rsidRPr="00270064">
        <w:rPr>
          <w:sz w:val="16"/>
          <w:szCs w:val="16"/>
        </w:rPr>
        <w:t xml:space="preserve">. </w:t>
      </w:r>
    </w:p>
  </w:footnote>
  <w:footnote w:id="23">
    <w:p w14:paraId="7EB0DF76" w14:textId="77777777" w:rsidR="00B12827" w:rsidRPr="00810E2D" w:rsidRDefault="00B12827" w:rsidP="00B12827">
      <w:pPr>
        <w:pStyle w:val="FootnoteText"/>
        <w:rPr>
          <w:sz w:val="16"/>
          <w:szCs w:val="16"/>
        </w:rPr>
      </w:pPr>
      <w:r w:rsidRPr="00810E2D">
        <w:rPr>
          <w:rStyle w:val="FootnoteReference"/>
          <w:sz w:val="16"/>
          <w:szCs w:val="16"/>
        </w:rPr>
        <w:footnoteRef/>
      </w:r>
      <w:r w:rsidRPr="00810E2D">
        <w:rPr>
          <w:sz w:val="16"/>
          <w:szCs w:val="16"/>
        </w:rPr>
        <w:t xml:space="preserve">DOE Tx assessment: </w:t>
      </w:r>
      <w:hyperlink r:id="rId11" w:history="1">
        <w:r w:rsidRPr="00A83026">
          <w:rPr>
            <w:rStyle w:val="Hyperlink"/>
            <w:sz w:val="16"/>
            <w:szCs w:val="16"/>
          </w:rPr>
          <w:t>https://www.energy.gov/sites/default/files/2024-10/DOE_OP_2024_Report-Transmission_Impact_Assessment.pdf</w:t>
        </w:r>
      </w:hyperlink>
      <w:r w:rsidRPr="00810E2D">
        <w:rPr>
          <w:sz w:val="16"/>
          <w:szCs w:val="16"/>
        </w:rPr>
        <w:t xml:space="preserve"> </w:t>
      </w:r>
    </w:p>
  </w:footnote>
  <w:footnote w:id="24">
    <w:p w14:paraId="6279B8E3" w14:textId="77777777" w:rsidR="00B12827" w:rsidRPr="009D3ECD" w:rsidRDefault="00B12827" w:rsidP="00B12827">
      <w:pPr>
        <w:rPr>
          <w:sz w:val="16"/>
          <w:szCs w:val="16"/>
        </w:rPr>
      </w:pPr>
      <w:r w:rsidRPr="009D3ECD">
        <w:rPr>
          <w:rStyle w:val="FootnoteReference"/>
          <w:sz w:val="16"/>
          <w:szCs w:val="16"/>
        </w:rPr>
        <w:footnoteRef/>
      </w:r>
      <w:r w:rsidRPr="009D3ECD">
        <w:rPr>
          <w:sz w:val="16"/>
          <w:szCs w:val="16"/>
        </w:rPr>
        <w:t xml:space="preserve">Ryan Hledik (Principal, The Brattle Group), as reported in “Better grid utilization could save customers $170B: Brattle report,” </w:t>
      </w:r>
      <w:r w:rsidRPr="009D3ECD">
        <w:rPr>
          <w:i/>
          <w:iCs/>
          <w:sz w:val="16"/>
          <w:szCs w:val="16"/>
        </w:rPr>
        <w:t>Utility Dive</w:t>
      </w:r>
      <w:r w:rsidRPr="009D3ECD">
        <w:rPr>
          <w:sz w:val="16"/>
          <w:szCs w:val="16"/>
        </w:rPr>
        <w:t xml:space="preserve">, March 23, 2026, </w:t>
      </w:r>
      <w:hyperlink r:id="rId12" w:history="1">
        <w:r w:rsidRPr="009D3ECD">
          <w:rPr>
            <w:rStyle w:val="Hyperlink"/>
            <w:sz w:val="16"/>
            <w:szCs w:val="16"/>
          </w:rPr>
          <w:t>https://www.utilitydive.com/news/better-grid-utilization-could-save-customers-170b-brattle-report/815436/</w:t>
        </w:r>
      </w:hyperlink>
      <w:r w:rsidRPr="009D3ECD">
        <w:rPr>
          <w:sz w:val="16"/>
          <w:szCs w:val="16"/>
        </w:rPr>
        <w:t xml:space="preserve">; see also The Brattle Group, </w:t>
      </w:r>
      <w:r w:rsidRPr="009D3ECD">
        <w:rPr>
          <w:i/>
          <w:iCs/>
          <w:sz w:val="16"/>
          <w:szCs w:val="16"/>
        </w:rPr>
        <w:t>The Untapped Grid: How a Better Utilized Power System Can Improve Energy Affordability</w:t>
      </w:r>
      <w:r w:rsidRPr="009D3ECD">
        <w:rPr>
          <w:sz w:val="16"/>
          <w:szCs w:val="16"/>
        </w:rPr>
        <w:t xml:space="preserve"> (commissioned by GridLab and the Utilize Coalition, March 2026), </w:t>
      </w:r>
      <w:hyperlink r:id="rId13" w:history="1">
        <w:r w:rsidRPr="009D3ECD">
          <w:rPr>
            <w:rStyle w:val="Hyperlink"/>
            <w:sz w:val="16"/>
            <w:szCs w:val="16"/>
          </w:rPr>
          <w:t>https://www.brattle.com/the-untapped-grid/</w:t>
        </w:r>
      </w:hyperlink>
      <w:r w:rsidRPr="009D3ECD">
        <w:rPr>
          <w:sz w:val="16"/>
          <w:szCs w:val="16"/>
        </w:rPr>
        <w:t xml:space="preserve">. </w:t>
      </w:r>
    </w:p>
  </w:footnote>
  <w:footnote w:id="25">
    <w:p w14:paraId="72B6C297" w14:textId="77777777" w:rsidR="00B12827" w:rsidRPr="00810E2D" w:rsidRDefault="00B12827" w:rsidP="00B12827">
      <w:pPr>
        <w:pStyle w:val="FootnoteText"/>
        <w:rPr>
          <w:sz w:val="16"/>
          <w:szCs w:val="16"/>
        </w:rPr>
      </w:pPr>
      <w:r w:rsidRPr="00810E2D">
        <w:rPr>
          <w:rStyle w:val="FootnoteReference"/>
          <w:sz w:val="16"/>
          <w:szCs w:val="16"/>
        </w:rPr>
        <w:footnoteRef/>
      </w:r>
      <w:r w:rsidRPr="00810E2D">
        <w:rPr>
          <w:sz w:val="16"/>
          <w:szCs w:val="16"/>
        </w:rPr>
        <w:t xml:space="preserve"> </w:t>
      </w:r>
      <w:r w:rsidRPr="00A83026">
        <w:rPr>
          <w:i/>
          <w:sz w:val="16"/>
          <w:szCs w:val="16"/>
        </w:rPr>
        <w:t xml:space="preserve">Heatmap News/MIT Electricity Price Hub: </w:t>
      </w:r>
      <w:r w:rsidRPr="00A83026">
        <w:rPr>
          <w:sz w:val="16"/>
          <w:szCs w:val="16"/>
        </w:rPr>
        <w:t>https://electricity.heatmap.news/</w:t>
      </w:r>
    </w:p>
  </w:footnote>
  <w:footnote w:id="26">
    <w:p w14:paraId="434862A6" w14:textId="49259B99" w:rsidR="00D52C06" w:rsidRDefault="00D52C06">
      <w:pPr>
        <w:pStyle w:val="FootnoteText"/>
      </w:pPr>
      <w:r w:rsidRPr="00810E2D">
        <w:rPr>
          <w:rStyle w:val="FootnoteReference"/>
          <w:sz w:val="16"/>
          <w:szCs w:val="16"/>
        </w:rPr>
        <w:footnoteRef/>
      </w:r>
      <w:r w:rsidRPr="00810E2D">
        <w:rPr>
          <w:sz w:val="16"/>
          <w:szCs w:val="16"/>
        </w:rPr>
        <w:t xml:space="preserve"> </w:t>
      </w:r>
      <w:r w:rsidR="00A460F8" w:rsidRPr="00A460F8">
        <w:rPr>
          <w:sz w:val="16"/>
          <w:szCs w:val="16"/>
        </w:rPr>
        <w:t xml:space="preserve">U.S. Department of Energy, </w:t>
      </w:r>
      <w:r w:rsidR="00A460F8" w:rsidRPr="00A460F8">
        <w:rPr>
          <w:i/>
          <w:iCs/>
          <w:sz w:val="16"/>
          <w:szCs w:val="16"/>
        </w:rPr>
        <w:t>Pathways to Commercial Liftoff: Virtual Power Plants 2025 Update</w:t>
      </w:r>
      <w:r w:rsidR="00A460F8" w:rsidRPr="00A460F8">
        <w:rPr>
          <w:sz w:val="16"/>
          <w:szCs w:val="16"/>
        </w:rPr>
        <w:t xml:space="preserve">, by Sonali Razdan, Jennifer Downing, and Louise White (Washington, DC: DOE Loan Programs Office and Office of Technology Transitions, January 2025), 31, </w:t>
      </w:r>
      <w:hyperlink r:id="rId14" w:history="1">
        <w:r w:rsidR="00A460F8" w:rsidRPr="00A460F8">
          <w:rPr>
            <w:rStyle w:val="Hyperlink"/>
            <w:sz w:val="16"/>
            <w:szCs w:val="16"/>
          </w:rPr>
          <w:t>https://liftoff.energy.gov/wp-content/uploads/2025/01/LIFTOFF_DOE_VirtualPowerPlants2025Update.pdf</w:t>
        </w:r>
      </w:hyperlink>
      <w:r w:rsidR="00A460F8" w:rsidRPr="00A460F8">
        <w:rPr>
          <w:sz w:val="16"/>
          <w:szCs w:val="16"/>
        </w:rPr>
        <w:t>.</w:t>
      </w:r>
    </w:p>
  </w:footnote>
  <w:footnote w:id="27">
    <w:p w14:paraId="46BCF3AF" w14:textId="10E8981A" w:rsidR="001B779D" w:rsidRPr="00A26E10" w:rsidRDefault="001B779D">
      <w:pPr>
        <w:pStyle w:val="FootnoteText"/>
        <w:rPr>
          <w:sz w:val="16"/>
          <w:szCs w:val="16"/>
        </w:rPr>
      </w:pPr>
      <w:r w:rsidRPr="00A26E10">
        <w:rPr>
          <w:rStyle w:val="FootnoteReference"/>
          <w:sz w:val="16"/>
          <w:szCs w:val="16"/>
        </w:rPr>
        <w:footnoteRef/>
      </w:r>
      <w:r w:rsidRPr="00A26E10">
        <w:rPr>
          <w:sz w:val="16"/>
          <w:szCs w:val="16"/>
        </w:rPr>
        <w:t xml:space="preserve"> Bryndis Woods et al., Applied Economics Clinic, ConnectedSolutions: A Program Assessment for Massachusetts, prepared for Clean Energy Group (September 2021), p. 9, </w:t>
      </w:r>
      <w:hyperlink r:id="rId15" w:history="1">
        <w:r w:rsidRPr="00A26E10">
          <w:rPr>
            <w:rStyle w:val="Hyperlink"/>
            <w:sz w:val="16"/>
            <w:szCs w:val="16"/>
          </w:rPr>
          <w:t>https://www.cleanegroup.org/wp-content/uploads/ConnectedSolutions-An-Assessment-for-Massachusetts.pdf</w:t>
        </w:r>
      </w:hyperlink>
      <w:r w:rsidRPr="00A26E10">
        <w:rPr>
          <w:sz w:val="16"/>
          <w:szCs w:val="16"/>
        </w:rPr>
        <w:t xml:space="preserve">, citing Massachusetts Energy Efficiency Program Administrators, Quarterly Report | Fourth Quarter 2020 (Mass Save, February 10, 2021), </w:t>
      </w:r>
      <w:hyperlink r:id="rId16" w:history="1">
        <w:r w:rsidRPr="00A26E10">
          <w:rPr>
            <w:rStyle w:val="Hyperlink"/>
            <w:sz w:val="16"/>
            <w:szCs w:val="16"/>
          </w:rPr>
          <w:t>https://ma-eeac.org/wp-content/uploads/Quarterly-Report-of-the-PAs-2020-Q4-Final.pdf</w:t>
        </w:r>
      </w:hyperlink>
      <w:r w:rsidRPr="00A26E10">
        <w:rPr>
          <w:sz w:val="16"/>
          <w:szCs w:val="16"/>
        </w:rPr>
        <w:t>.</w:t>
      </w:r>
    </w:p>
  </w:footnote>
  <w:footnote w:id="28">
    <w:p w14:paraId="18216507" w14:textId="5BE944AF" w:rsidR="002A3FE1" w:rsidRPr="00A26E10" w:rsidRDefault="002A3FE1">
      <w:pPr>
        <w:pStyle w:val="FootnoteText"/>
        <w:rPr>
          <w:sz w:val="16"/>
          <w:szCs w:val="16"/>
        </w:rPr>
      </w:pPr>
      <w:r w:rsidRPr="00A26E10">
        <w:rPr>
          <w:rStyle w:val="FootnoteReference"/>
          <w:sz w:val="16"/>
          <w:szCs w:val="16"/>
        </w:rPr>
        <w:footnoteRef/>
      </w:r>
      <w:r w:rsidR="00005C8F">
        <w:rPr>
          <w:sz w:val="16"/>
          <w:szCs w:val="16"/>
        </w:rPr>
        <w:t xml:space="preserve"> </w:t>
      </w:r>
      <w:r w:rsidR="00044DFE" w:rsidRPr="00A26E10">
        <w:rPr>
          <w:sz w:val="16"/>
          <w:szCs w:val="16"/>
        </w:rPr>
        <w:t xml:space="preserve">Applied Economics Clinic, ConnectedSolutions: A Program Assessment for Massachusetts (September 2021), Table 7, p. 21, </w:t>
      </w:r>
      <w:hyperlink r:id="rId17" w:history="1">
        <w:r w:rsidR="00044DFE" w:rsidRPr="00A26E10">
          <w:rPr>
            <w:rStyle w:val="Hyperlink"/>
            <w:sz w:val="16"/>
            <w:szCs w:val="16"/>
          </w:rPr>
          <w:t>https://www.cleanegroup.org/wp-content/uploads/ConnectedSolutions-An-Assessment-for-Massachusetts.pdf</w:t>
        </w:r>
      </w:hyperlink>
      <w:r w:rsidR="00044DFE" w:rsidRPr="00A26E10">
        <w:rPr>
          <w:sz w:val="16"/>
          <w:szCs w:val="16"/>
        </w:rPr>
        <w:t xml:space="preserve">, citing MA Energy Efficiency Advisory Council, "4th Quarter 2020 Program Administrators' Data," Master Data Tab, </w:t>
      </w:r>
      <w:hyperlink r:id="rId18" w:history="1">
        <w:r w:rsidR="00044DFE" w:rsidRPr="00A26E10">
          <w:rPr>
            <w:rStyle w:val="Hyperlink"/>
            <w:sz w:val="16"/>
            <w:szCs w:val="16"/>
          </w:rPr>
          <w:t>https://ma-eeac.org/results-reporting/quarterly-reports/</w:t>
        </w:r>
      </w:hyperlink>
      <w:r w:rsidR="00044DFE" w:rsidRPr="00A26E10">
        <w:rPr>
          <w:sz w:val="16"/>
          <w:szCs w:val="16"/>
        </w:rPr>
        <w:t>.</w:t>
      </w:r>
    </w:p>
  </w:footnote>
  <w:footnote w:id="29">
    <w:p w14:paraId="5982597E" w14:textId="77777777" w:rsidR="00EC4736" w:rsidRPr="009D3ECD" w:rsidRDefault="00EC4736" w:rsidP="00EC4736">
      <w:pPr>
        <w:rPr>
          <w:sz w:val="16"/>
          <w:szCs w:val="16"/>
        </w:rPr>
      </w:pPr>
      <w:r w:rsidRPr="001B779D">
        <w:rPr>
          <w:rStyle w:val="FootnoteReference"/>
          <w:sz w:val="16"/>
          <w:szCs w:val="16"/>
        </w:rPr>
        <w:footnoteRef/>
      </w:r>
      <w:r w:rsidRPr="001B779D">
        <w:rPr>
          <w:sz w:val="16"/>
          <w:szCs w:val="16"/>
        </w:rPr>
        <w:t xml:space="preserve">Code of Virginia § 56-585.1:16, </w:t>
      </w:r>
      <w:r w:rsidRPr="001B779D">
        <w:rPr>
          <w:i/>
          <w:iCs/>
          <w:sz w:val="16"/>
          <w:szCs w:val="16"/>
        </w:rPr>
        <w:t>Virtual power plant pilot program</w:t>
      </w:r>
      <w:r w:rsidRPr="001B779D">
        <w:rPr>
          <w:sz w:val="16"/>
          <w:szCs w:val="16"/>
        </w:rPr>
        <w:t xml:space="preserve"> (enacted as HB 2346/SB 1100, “Community Energy Act,” 2025), </w:t>
      </w:r>
      <w:hyperlink r:id="rId19" w:history="1">
        <w:r w:rsidRPr="001B779D">
          <w:rPr>
            <w:rStyle w:val="Hyperlink"/>
            <w:sz w:val="16"/>
            <w:szCs w:val="16"/>
          </w:rPr>
          <w:t>https://law.lis.virginia.gov/vacode/title56/chapter23/section56-585.1:16/</w:t>
        </w:r>
      </w:hyperlink>
      <w:r w:rsidRPr="001B779D">
        <w:rPr>
          <w:sz w:val="16"/>
          <w:szCs w:val="16"/>
        </w:rPr>
        <w:t>.</w:t>
      </w:r>
    </w:p>
  </w:footnote>
  <w:footnote w:id="30">
    <w:p w14:paraId="51AE5AE7" w14:textId="77777777" w:rsidR="00AF0C6F" w:rsidRDefault="00AF0C6F" w:rsidP="00AF0C6F">
      <w:pPr>
        <w:pStyle w:val="FootnoteText"/>
      </w:pPr>
    </w:p>
  </w:footnote>
  <w:footnote w:id="31">
    <w:p w14:paraId="7611B592" w14:textId="73A30B6F" w:rsidR="00150413" w:rsidRDefault="00150413">
      <w:pPr>
        <w:pStyle w:val="FootnoteText"/>
      </w:pPr>
      <w:r w:rsidRPr="00BC3B90">
        <w:rPr>
          <w:rStyle w:val="FootnoteReference"/>
          <w:sz w:val="16"/>
          <w:szCs w:val="16"/>
        </w:rPr>
        <w:footnoteRef/>
      </w:r>
      <w:r w:rsidRPr="00BC3B90">
        <w:rPr>
          <w:sz w:val="16"/>
          <w:szCs w:val="16"/>
        </w:rPr>
        <w:t xml:space="preserve"> Ryan Hledik, Kate Peters, and Purvaansh Lohiya, </w:t>
      </w:r>
      <w:r w:rsidRPr="00BC3B90">
        <w:rPr>
          <w:i/>
          <w:sz w:val="16"/>
          <w:szCs w:val="16"/>
        </w:rPr>
        <w:t>Assessing VPP Performance: Impacts of a Test Event in California</w:t>
      </w:r>
      <w:r w:rsidRPr="00BC3B90">
        <w:rPr>
          <w:sz w:val="16"/>
          <w:szCs w:val="16"/>
        </w:rPr>
        <w:t xml:space="preserve"> (presentation, The Brattle Group, prepared for Sunrun and Tesla, August 1, 2025), </w:t>
      </w:r>
      <w:hyperlink r:id="rId20" w:history="1">
        <w:r w:rsidRPr="00BC3B90">
          <w:rPr>
            <w:rStyle w:val="Hyperlink"/>
            <w:sz w:val="16"/>
            <w:szCs w:val="16"/>
          </w:rPr>
          <w:t>https://www.brattle.com/wp-content/uploads/2025/08/Assessing-VPP-Performance-Impacts-of-a-Test-Event-in-California-1.pdf</w:t>
        </w:r>
      </w:hyperlink>
      <w:r w:rsidRPr="00BC3B90">
        <w:rPr>
          <w:sz w:val="16"/>
          <w:szCs w:val="16"/>
        </w:rPr>
        <w:t>.</w:t>
      </w:r>
    </w:p>
  </w:footnote>
  <w:footnote w:id="32">
    <w:p w14:paraId="4F3B3B10" w14:textId="5878A402" w:rsidR="00AF6A7D" w:rsidRPr="00D758ED" w:rsidRDefault="00AF6A7D" w:rsidP="00D758ED">
      <w:pPr>
        <w:jc w:val="both"/>
        <w:rPr>
          <w:b/>
          <w:bCs/>
        </w:rPr>
      </w:pPr>
      <w:r w:rsidRPr="00D758ED">
        <w:rPr>
          <w:b/>
          <w:bCs/>
          <w:sz w:val="16"/>
          <w:szCs w:val="16"/>
        </w:rPr>
        <w:t>*</w:t>
      </w:r>
      <w:r w:rsidR="00B71367">
        <w:rPr>
          <w:b/>
          <w:bCs/>
          <w:sz w:val="16"/>
          <w:szCs w:val="16"/>
        </w:rPr>
        <w:t>A f</w:t>
      </w:r>
      <w:r w:rsidR="00D758ED" w:rsidRPr="00D758ED">
        <w:rPr>
          <w:b/>
          <w:bCs/>
          <w:sz w:val="16"/>
          <w:szCs w:val="16"/>
        </w:rPr>
        <w:t xml:space="preserve">ull list of relevant legislation </w:t>
      </w:r>
      <w:r w:rsidR="00B71367">
        <w:rPr>
          <w:b/>
          <w:bCs/>
          <w:sz w:val="16"/>
          <w:szCs w:val="16"/>
        </w:rPr>
        <w:t>is located</w:t>
      </w:r>
      <w:r w:rsidR="00D758ED" w:rsidRPr="00D758ED">
        <w:rPr>
          <w:b/>
          <w:bCs/>
          <w:sz w:val="16"/>
          <w:szCs w:val="16"/>
        </w:rPr>
        <w:t xml:space="preserve"> in Appendix D.</w:t>
      </w:r>
      <w:r w:rsidR="00D758ED" w:rsidRPr="00D758ED">
        <w:rPr>
          <w:b/>
          <w:bCs/>
        </w:rPr>
        <w:t xml:space="preserve"> </w:t>
      </w:r>
    </w:p>
  </w:footnote>
  <w:footnote w:id="33">
    <w:p w14:paraId="6C0FD0CF" w14:textId="77777777" w:rsidR="00D57AAB" w:rsidRPr="005F4D72" w:rsidRDefault="00D57AAB" w:rsidP="00D57AAB">
      <w:pPr>
        <w:rPr>
          <w:sz w:val="16"/>
          <w:szCs w:val="16"/>
        </w:rPr>
      </w:pPr>
      <w:r w:rsidRPr="005F4D72">
        <w:rPr>
          <w:rStyle w:val="FootnoteReference"/>
          <w:sz w:val="16"/>
          <w:szCs w:val="16"/>
        </w:rPr>
        <w:footnoteRef/>
      </w:r>
      <w:r w:rsidRPr="005F4D72">
        <w:rPr>
          <w:sz w:val="16"/>
          <w:szCs w:val="16"/>
        </w:rPr>
        <w:t>Virginia General Assembly, House Bill 628 / Senate Bill 175, 2026 Regular Session.</w:t>
      </w:r>
    </w:p>
  </w:footnote>
  <w:footnote w:id="34">
    <w:p w14:paraId="4F198705" w14:textId="77777777" w:rsidR="003257D8" w:rsidRPr="005F4D72" w:rsidRDefault="003257D8" w:rsidP="003257D8">
      <w:pPr>
        <w:rPr>
          <w:sz w:val="16"/>
          <w:szCs w:val="16"/>
        </w:rPr>
      </w:pPr>
      <w:r w:rsidRPr="005F4D72">
        <w:rPr>
          <w:rStyle w:val="FootnoteReference"/>
          <w:sz w:val="16"/>
          <w:szCs w:val="16"/>
        </w:rPr>
        <w:footnoteRef/>
      </w:r>
      <w:r w:rsidRPr="005F4D72">
        <w:rPr>
          <w:sz w:val="16"/>
          <w:szCs w:val="16"/>
        </w:rPr>
        <w:t xml:space="preserve">Virginia General Assembly, Senate Bill 254 / House Bill 807 and Senate Bill 255 / House Bill 809, 2026 Regular Session; Virginia Energy, “Shared Solar and Community Solar,” Commonwealth of Virginia, accessed August 2026. </w:t>
      </w:r>
    </w:p>
  </w:footnote>
  <w:footnote w:id="35">
    <w:p w14:paraId="215DB704" w14:textId="77777777" w:rsidR="003257D8" w:rsidRPr="005F4D72" w:rsidRDefault="003257D8" w:rsidP="003257D8">
      <w:pPr>
        <w:rPr>
          <w:sz w:val="16"/>
          <w:szCs w:val="16"/>
        </w:rPr>
      </w:pPr>
      <w:r w:rsidRPr="005F4D72">
        <w:rPr>
          <w:rStyle w:val="FootnoteReference"/>
          <w:sz w:val="16"/>
          <w:szCs w:val="16"/>
        </w:rPr>
        <w:footnoteRef/>
      </w:r>
      <w:r w:rsidRPr="005F4D72">
        <w:rPr>
          <w:sz w:val="16"/>
          <w:szCs w:val="16"/>
        </w:rPr>
        <w:t>Virginia General Assembly, House Bill 895 / Senate Bill 448, 2026 Regular Session, building on targets set by the 2018 Grid Transformation and Security Act and the 2020 Virginia Clean Economy Act.</w:t>
      </w:r>
    </w:p>
  </w:footnote>
  <w:footnote w:id="36">
    <w:p w14:paraId="2342DE7C" w14:textId="77777777" w:rsidR="003257D8" w:rsidRPr="005F4D72" w:rsidRDefault="003257D8" w:rsidP="003257D8">
      <w:pPr>
        <w:rPr>
          <w:sz w:val="16"/>
          <w:szCs w:val="16"/>
        </w:rPr>
      </w:pPr>
      <w:r w:rsidRPr="005F4D72">
        <w:rPr>
          <w:rStyle w:val="FootnoteReference"/>
          <w:sz w:val="16"/>
          <w:szCs w:val="16"/>
        </w:rPr>
        <w:footnoteRef/>
      </w:r>
      <w:r w:rsidRPr="005F4D72">
        <w:rPr>
          <w:sz w:val="16"/>
          <w:szCs w:val="16"/>
        </w:rPr>
        <w:t>Virginia Energy, “Solar Energy,” Commonwealth of Virginia, accessed August 2026; Virginia General Assembly, House Bill 590 / Senate Bill 382, 2026 Regular Session.</w:t>
      </w:r>
    </w:p>
  </w:footnote>
  <w:footnote w:id="37">
    <w:p w14:paraId="2085956F" w14:textId="77777777" w:rsidR="004926A9" w:rsidRPr="009D3ECD" w:rsidRDefault="004926A9" w:rsidP="004926A9">
      <w:pPr>
        <w:rPr>
          <w:sz w:val="16"/>
          <w:szCs w:val="16"/>
        </w:rPr>
      </w:pPr>
      <w:r w:rsidRPr="009D3ECD">
        <w:rPr>
          <w:rStyle w:val="FootnoteReference"/>
          <w:sz w:val="16"/>
          <w:szCs w:val="16"/>
        </w:rPr>
        <w:footnoteRef/>
      </w:r>
      <w:r w:rsidRPr="009D3ECD">
        <w:rPr>
          <w:sz w:val="16"/>
          <w:szCs w:val="16"/>
        </w:rPr>
        <w:t xml:space="preserve">Code of Virginia § 56-585.1:16, </w:t>
      </w:r>
      <w:r w:rsidRPr="009D3ECD">
        <w:rPr>
          <w:i/>
          <w:iCs/>
          <w:sz w:val="16"/>
          <w:szCs w:val="16"/>
        </w:rPr>
        <w:t>Virtual power plant pilot program</w:t>
      </w:r>
      <w:r w:rsidRPr="009D3ECD">
        <w:rPr>
          <w:sz w:val="16"/>
          <w:szCs w:val="16"/>
        </w:rPr>
        <w:t xml:space="preserve"> (enacted as HB 2346/SB 1100, “Community Energy Act,” 2025), </w:t>
      </w:r>
      <w:hyperlink r:id="rId21" w:history="1">
        <w:r w:rsidRPr="009D3ECD">
          <w:rPr>
            <w:rStyle w:val="Hyperlink"/>
            <w:sz w:val="16"/>
            <w:szCs w:val="16"/>
          </w:rPr>
          <w:t>https://law.lis.virginia.gov/vacode/title56/chapter23/section56-585.1:16/</w:t>
        </w:r>
      </w:hyperlink>
      <w:r w:rsidRPr="009D3ECD">
        <w:rPr>
          <w:sz w:val="16"/>
          <w:szCs w:val="16"/>
        </w:rPr>
        <w:t>.</w:t>
      </w:r>
    </w:p>
  </w:footnote>
  <w:footnote w:id="38">
    <w:p w14:paraId="385272C3" w14:textId="77777777" w:rsidR="00F64F46" w:rsidRDefault="00F64F46" w:rsidP="00F64F46">
      <w:pPr>
        <w:pStyle w:val="FootnoteText"/>
      </w:pPr>
      <w:r>
        <w:rPr>
          <w:rStyle w:val="FootnoteReference"/>
        </w:rPr>
        <w:footnoteRef/>
      </w:r>
      <w:r>
        <w:t xml:space="preserve"> </w:t>
      </w:r>
      <w:r>
        <w:rPr>
          <w:sz w:val="16"/>
          <w:szCs w:val="16"/>
        </w:rPr>
        <w:t>See n. 6 (FERC Order No. 2222 and Explainer)</w:t>
      </w:r>
    </w:p>
  </w:footnote>
  <w:footnote w:id="39">
    <w:p w14:paraId="4E097556" w14:textId="77777777" w:rsidR="00F64F46" w:rsidRDefault="00F64F46" w:rsidP="00F64F46">
      <w:pPr>
        <w:pStyle w:val="FootnoteText"/>
      </w:pPr>
      <w:r>
        <w:rPr>
          <w:rStyle w:val="FootnoteReference"/>
        </w:rPr>
        <w:footnoteRef/>
      </w:r>
      <w:r>
        <w:t xml:space="preserve"> </w:t>
      </w:r>
      <w:r w:rsidRPr="00334172">
        <w:rPr>
          <w:sz w:val="16"/>
          <w:szCs w:val="16"/>
        </w:rPr>
        <w:t xml:space="preserve">FERC Order No. 2222 Registration Process, PJM, </w:t>
      </w:r>
      <w:hyperlink r:id="rId22" w:history="1">
        <w:r w:rsidRPr="00334172">
          <w:rPr>
            <w:rStyle w:val="Hyperlink"/>
            <w:sz w:val="16"/>
            <w:szCs w:val="16"/>
          </w:rPr>
          <w:t>https://www.pjm.com/-/media/DotCom/committees-groups/subcommittees/disrs/2026/20260406/20260406-item-03-1--ferc-order-2222-timeline-and-registration-process---presentation.pdf</w:t>
        </w:r>
      </w:hyperlink>
      <w:r w:rsidRPr="00334172">
        <w:rPr>
          <w:sz w:val="16"/>
          <w:szCs w:val="16"/>
        </w:rPr>
        <w:t xml:space="preserve"> </w:t>
      </w:r>
    </w:p>
  </w:footnote>
  <w:footnote w:id="40">
    <w:p w14:paraId="68BD892F" w14:textId="77777777" w:rsidR="00C41884" w:rsidRPr="005F4D72" w:rsidRDefault="00C41884" w:rsidP="00C41884">
      <w:pPr>
        <w:rPr>
          <w:sz w:val="16"/>
          <w:szCs w:val="16"/>
        </w:rPr>
      </w:pPr>
      <w:r w:rsidRPr="005F4D72">
        <w:rPr>
          <w:rStyle w:val="FootnoteReference"/>
          <w:sz w:val="16"/>
          <w:szCs w:val="16"/>
        </w:rPr>
        <w:footnoteRef/>
      </w:r>
      <w:r w:rsidRPr="005F4D72">
        <w:rPr>
          <w:sz w:val="16"/>
          <w:szCs w:val="16"/>
        </w:rPr>
        <w:t xml:space="preserve">U.S. Energy Information Administration, “Commercial electricity sales have soared in Virginia, driven by data centers,” </w:t>
      </w:r>
      <w:r w:rsidRPr="005F4D72">
        <w:rPr>
          <w:i/>
          <w:iCs/>
          <w:sz w:val="16"/>
          <w:szCs w:val="16"/>
        </w:rPr>
        <w:t>Today in Energy</w:t>
      </w:r>
      <w:r w:rsidRPr="005F4D72">
        <w:rPr>
          <w:sz w:val="16"/>
          <w:szCs w:val="16"/>
        </w:rPr>
        <w:t xml:space="preserve">, May 5, 2026, </w:t>
      </w:r>
      <w:hyperlink r:id="rId23" w:history="1">
        <w:r w:rsidRPr="005F4D72">
          <w:rPr>
            <w:rStyle w:val="Hyperlink"/>
            <w:sz w:val="16"/>
            <w:szCs w:val="16"/>
          </w:rPr>
          <w:t>https://www.eia.gov/todayinenergy/detail.php?id=67664</w:t>
        </w:r>
      </w:hyperlink>
      <w:r w:rsidRPr="005F4D72">
        <w:rPr>
          <w:sz w:val="16"/>
          <w:szCs w:val="16"/>
        </w:rPr>
        <w:t>.</w:t>
      </w:r>
    </w:p>
  </w:footnote>
  <w:footnote w:id="41">
    <w:p w14:paraId="4A44C9FB" w14:textId="77777777" w:rsidR="00C41884" w:rsidRDefault="00C41884" w:rsidP="00C41884">
      <w:pPr>
        <w:pStyle w:val="FootnoteText"/>
      </w:pPr>
      <w:r w:rsidRPr="002117E5">
        <w:rPr>
          <w:rStyle w:val="FootnoteReference"/>
          <w:rFonts w:ascii="Symbol" w:eastAsia="Symbol" w:hAnsi="Symbol" w:cs="Symbol"/>
        </w:rPr>
        <w:t>*</w:t>
      </w:r>
      <w:r w:rsidRPr="00A83026">
        <w:rPr>
          <w:b/>
          <w:bCs/>
          <w:sz w:val="16"/>
          <w:szCs w:val="16"/>
        </w:rPr>
        <w:t xml:space="preserve">PJM’s Dominion </w:t>
      </w:r>
      <w:r>
        <w:rPr>
          <w:b/>
          <w:bCs/>
          <w:sz w:val="16"/>
          <w:szCs w:val="16"/>
        </w:rPr>
        <w:t>l</w:t>
      </w:r>
      <w:r w:rsidRPr="00A83026">
        <w:rPr>
          <w:b/>
          <w:bCs/>
          <w:sz w:val="16"/>
          <w:szCs w:val="16"/>
        </w:rPr>
        <w:t xml:space="preserve">oad </w:t>
      </w:r>
      <w:r>
        <w:rPr>
          <w:b/>
          <w:bCs/>
          <w:sz w:val="16"/>
          <w:szCs w:val="16"/>
        </w:rPr>
        <w:t>z</w:t>
      </w:r>
      <w:r w:rsidRPr="00A83026">
        <w:rPr>
          <w:b/>
          <w:bCs/>
          <w:sz w:val="16"/>
          <w:szCs w:val="16"/>
        </w:rPr>
        <w:t xml:space="preserve">one </w:t>
      </w:r>
      <w:r>
        <w:rPr>
          <w:b/>
          <w:bCs/>
          <w:sz w:val="16"/>
          <w:szCs w:val="16"/>
        </w:rPr>
        <w:t>includes</w:t>
      </w:r>
      <w:r w:rsidRPr="00A83026">
        <w:rPr>
          <w:b/>
          <w:bCs/>
          <w:sz w:val="16"/>
          <w:szCs w:val="16"/>
        </w:rPr>
        <w:t xml:space="preserve"> most of the Commonwealth</w:t>
      </w:r>
      <w:r>
        <w:rPr>
          <w:b/>
          <w:bCs/>
          <w:sz w:val="16"/>
          <w:szCs w:val="16"/>
        </w:rPr>
        <w:t>’s population</w:t>
      </w:r>
      <w:r w:rsidRPr="00A83026">
        <w:rPr>
          <w:b/>
          <w:bCs/>
          <w:sz w:val="16"/>
          <w:szCs w:val="16"/>
        </w:rPr>
        <w:t xml:space="preserve"> and hosts the largest concentration of data centers in the world</w:t>
      </w:r>
      <w:r>
        <w:rPr>
          <w:b/>
          <w:bCs/>
          <w:sz w:val="16"/>
          <w:szCs w:val="16"/>
        </w:rPr>
        <w:t>.</w:t>
      </w:r>
    </w:p>
  </w:footnote>
  <w:footnote w:id="42">
    <w:p w14:paraId="4C059054" w14:textId="77777777" w:rsidR="00C41884" w:rsidRPr="005F4D72" w:rsidRDefault="00C41884" w:rsidP="00C41884">
      <w:pPr>
        <w:rPr>
          <w:sz w:val="16"/>
          <w:szCs w:val="16"/>
        </w:rPr>
      </w:pPr>
      <w:r w:rsidRPr="005F4D72">
        <w:rPr>
          <w:rStyle w:val="FootnoteReference"/>
          <w:sz w:val="16"/>
          <w:szCs w:val="16"/>
        </w:rPr>
        <w:footnoteRef/>
      </w:r>
      <w:r w:rsidRPr="005F4D72">
        <w:rPr>
          <w:sz w:val="16"/>
          <w:szCs w:val="16"/>
        </w:rPr>
        <w:t xml:space="preserve">U.S. Energy Information Administration, “Commercial electricity sales have soared in Virginia, driven by data centers,” </w:t>
      </w:r>
      <w:r w:rsidRPr="005F4D72">
        <w:rPr>
          <w:i/>
          <w:iCs/>
          <w:sz w:val="16"/>
          <w:szCs w:val="16"/>
        </w:rPr>
        <w:t>Today in Energy</w:t>
      </w:r>
      <w:r w:rsidRPr="005F4D72">
        <w:rPr>
          <w:sz w:val="16"/>
          <w:szCs w:val="16"/>
        </w:rPr>
        <w:t xml:space="preserve">, May 5, 2026, citing PJM Interconnection, </w:t>
      </w:r>
      <w:r w:rsidRPr="005F4D72">
        <w:rPr>
          <w:i/>
          <w:iCs/>
          <w:sz w:val="16"/>
          <w:szCs w:val="16"/>
        </w:rPr>
        <w:t>2026 Long-Term Load Forecast Report</w:t>
      </w:r>
      <w:r w:rsidRPr="005F4D72">
        <w:rPr>
          <w:sz w:val="16"/>
          <w:szCs w:val="16"/>
        </w:rPr>
        <w:t xml:space="preserve">, Dominion Virginia Power zone, Tables B1–B2, </w:t>
      </w:r>
      <w:hyperlink r:id="rId24" w:history="1">
        <w:r w:rsidRPr="005F4D72">
          <w:rPr>
            <w:rStyle w:val="Hyperlink"/>
            <w:sz w:val="16"/>
            <w:szCs w:val="16"/>
          </w:rPr>
          <w:t>https://www.eia.gov/todayinenergy/detail.php?id=67664</w:t>
        </w:r>
      </w:hyperlink>
      <w:r w:rsidRPr="005F4D72">
        <w:rPr>
          <w:sz w:val="16"/>
          <w:szCs w:val="16"/>
        </w:rPr>
        <w:t>.</w:t>
      </w:r>
    </w:p>
  </w:footnote>
  <w:footnote w:id="43">
    <w:p w14:paraId="320AF963" w14:textId="6F990980" w:rsidR="00B0099F" w:rsidRPr="00743F49" w:rsidRDefault="00B0099F" w:rsidP="00B0099F">
      <w:pPr>
        <w:pStyle w:val="FootnoteText"/>
        <w:rPr>
          <w:sz w:val="16"/>
          <w:szCs w:val="16"/>
        </w:rPr>
      </w:pPr>
      <w:r w:rsidRPr="00743F49">
        <w:rPr>
          <w:rStyle w:val="FootnoteReference"/>
          <w:sz w:val="16"/>
          <w:szCs w:val="16"/>
        </w:rPr>
        <w:footnoteRef/>
      </w:r>
      <w:r w:rsidRPr="00743F49">
        <w:rPr>
          <w:sz w:val="16"/>
          <w:szCs w:val="16"/>
        </w:rPr>
        <w:t xml:space="preserve"> </w:t>
      </w:r>
      <w:r w:rsidR="00743F49" w:rsidRPr="00743F49">
        <w:rPr>
          <w:sz w:val="16"/>
          <w:szCs w:val="16"/>
        </w:rPr>
        <w:t xml:space="preserve">Virginia Electric and Power Company, </w:t>
      </w:r>
      <w:r w:rsidR="00743F49" w:rsidRPr="00743F49">
        <w:rPr>
          <w:i/>
          <w:iCs/>
          <w:sz w:val="16"/>
          <w:szCs w:val="16"/>
        </w:rPr>
        <w:t>2025 Update to the 2024 Integrated Resource Plan</w:t>
      </w:r>
      <w:r w:rsidR="00743F49" w:rsidRPr="00743F49">
        <w:rPr>
          <w:sz w:val="16"/>
          <w:szCs w:val="16"/>
        </w:rPr>
        <w:t xml:space="preserve"> (Richmond, VA: Dominion Energy, filed with the Virginia State Corporation Commission, Case No. PUR-2025-00184, and the North Carolina Utilities Commission, Docket No. E-100, Sub 214, October 15, 2025), </w:t>
      </w:r>
      <w:hyperlink r:id="rId25" w:history="1">
        <w:r w:rsidR="00743F49" w:rsidRPr="00743F49">
          <w:rPr>
            <w:rStyle w:val="Hyperlink"/>
            <w:sz w:val="16"/>
            <w:szCs w:val="16"/>
          </w:rPr>
          <w:t>https://www.dominionenergy.com/-/media/content/about/our-company/irp/pdfs/2025-integrated-resource-plan-update.pdf</w:t>
        </w:r>
      </w:hyperlink>
      <w:r w:rsidR="00743F49" w:rsidRPr="00743F49">
        <w:rPr>
          <w:sz w:val="16"/>
          <w:szCs w:val="16"/>
        </w:rPr>
        <w:t>.</w:t>
      </w:r>
    </w:p>
  </w:footnote>
  <w:footnote w:id="44">
    <w:p w14:paraId="1286115C" w14:textId="1D37FE31" w:rsidR="008C51E3" w:rsidRDefault="008C51E3">
      <w:pPr>
        <w:pStyle w:val="FootnoteText"/>
      </w:pPr>
      <w:r>
        <w:rPr>
          <w:rStyle w:val="FootnoteReference"/>
        </w:rPr>
        <w:t>*</w:t>
      </w:r>
      <w:r w:rsidR="007F4BBB">
        <w:rPr>
          <w:b/>
          <w:bCs/>
          <w:sz w:val="16"/>
          <w:szCs w:val="16"/>
        </w:rPr>
        <w:t>Deloitte</w:t>
      </w:r>
      <w:r w:rsidR="00A45BFD" w:rsidRPr="00A45BFD">
        <w:rPr>
          <w:b/>
          <w:bCs/>
          <w:sz w:val="16"/>
          <w:szCs w:val="16"/>
        </w:rPr>
        <w:t xml:space="preserve">, “Virginia DER Baseline — Solar PV + BESS,” internal analysis, August 21, 2026, based on U.S. Energy Information Administration, Form EIA-861, Net Metering file; proprietary </w:t>
      </w:r>
      <w:r w:rsidR="009B7D88">
        <w:rPr>
          <w:b/>
          <w:bCs/>
          <w:sz w:val="16"/>
          <w:szCs w:val="16"/>
        </w:rPr>
        <w:t xml:space="preserve">BTM storage </w:t>
      </w:r>
      <w:r w:rsidR="00A45BFD" w:rsidRPr="00A45BFD">
        <w:rPr>
          <w:b/>
          <w:bCs/>
          <w:sz w:val="16"/>
          <w:szCs w:val="16"/>
        </w:rPr>
        <w:t>vendor data for Virginia; Lawrence Berkeley National Laboratory, Tracking the Sun (battery attachment rates); and US DOE Alternative Fuels Data Center. Battery figures are a modeled estimate blending EIA-861 data with vendor and LBNL attachment-rate data, rather than a direct census.</w:t>
      </w:r>
    </w:p>
  </w:footnote>
  <w:footnote w:id="45">
    <w:p w14:paraId="7FB90807" w14:textId="70E19A6A" w:rsidR="00ED660D" w:rsidRPr="00DF6555" w:rsidRDefault="00ED660D" w:rsidP="00ED660D">
      <w:pPr>
        <w:pStyle w:val="FootnoteText"/>
        <w:rPr>
          <w:sz w:val="16"/>
          <w:szCs w:val="16"/>
        </w:rPr>
      </w:pPr>
      <w:r w:rsidRPr="00F312BB">
        <w:rPr>
          <w:rStyle w:val="FootnoteReference"/>
          <w:sz w:val="16"/>
          <w:szCs w:val="16"/>
        </w:rPr>
        <w:footnoteRef/>
      </w:r>
      <w:r w:rsidRPr="00F312BB">
        <w:rPr>
          <w:sz w:val="16"/>
          <w:szCs w:val="16"/>
        </w:rPr>
        <w:t xml:space="preserve"> </w:t>
      </w:r>
      <w:r w:rsidR="00F312BB" w:rsidRPr="00F312BB">
        <w:rPr>
          <w:sz w:val="16"/>
          <w:szCs w:val="16"/>
        </w:rPr>
        <w:t xml:space="preserve">Va. Code Ann. § 56-594.3, </w:t>
      </w:r>
      <w:r w:rsidR="00F312BB" w:rsidRPr="00F312BB">
        <w:rPr>
          <w:i/>
          <w:iCs/>
          <w:sz w:val="16"/>
          <w:szCs w:val="16"/>
        </w:rPr>
        <w:t>Shared Solar Programs; Phase II Utility</w:t>
      </w:r>
      <w:r w:rsidR="00F312BB" w:rsidRPr="00F312BB">
        <w:rPr>
          <w:sz w:val="16"/>
          <w:szCs w:val="16"/>
        </w:rPr>
        <w:t>, as amended by 2024 Va. Acts chs. 715 &amp; 763, and 2026 Va. Acts chs. 670 &amp; 671, https://law.lis.virginia.gov/vacode/title56/chapter23/section56-594.3/.</w:t>
      </w:r>
    </w:p>
  </w:footnote>
  <w:footnote w:id="46">
    <w:p w14:paraId="7875E9A7" w14:textId="77777777" w:rsidR="00ED660D" w:rsidRPr="00DF6555" w:rsidRDefault="00ED660D" w:rsidP="00ED660D">
      <w:pPr>
        <w:pStyle w:val="FootnoteText"/>
        <w:rPr>
          <w:sz w:val="16"/>
          <w:szCs w:val="16"/>
          <w:lang w:val="en-CA"/>
        </w:rPr>
      </w:pPr>
      <w:r w:rsidRPr="00DF6555">
        <w:rPr>
          <w:rStyle w:val="FootnoteReference"/>
          <w:sz w:val="16"/>
          <w:szCs w:val="16"/>
        </w:rPr>
        <w:footnoteRef/>
      </w:r>
      <w:r w:rsidRPr="00DF6555">
        <w:rPr>
          <w:sz w:val="16"/>
          <w:szCs w:val="16"/>
        </w:rPr>
        <w:t xml:space="preserve"> “Shared Solar Program” 2020. Dominion Energy. 2020. </w:t>
      </w:r>
      <w:hyperlink r:id="rId26" w:history="1">
        <w:r w:rsidRPr="00DF6555">
          <w:rPr>
            <w:rStyle w:val="Hyperlink"/>
            <w:sz w:val="16"/>
            <w:szCs w:val="16"/>
          </w:rPr>
          <w:t>https://www.dominionenergy.com/virginia/renewable-energy-programs/shared-solar-program</w:t>
        </w:r>
      </w:hyperlink>
      <w:r w:rsidRPr="00DF6555">
        <w:rPr>
          <w:sz w:val="16"/>
          <w:szCs w:val="16"/>
        </w:rPr>
        <w:t xml:space="preserve">; </w:t>
      </w:r>
      <w:r w:rsidRPr="00DF6555">
        <w:rPr>
          <w:sz w:val="16"/>
          <w:szCs w:val="16"/>
          <w:lang w:val="en-CA"/>
        </w:rPr>
        <w:t xml:space="preserve">“Shared Solar Program.” 2026. Appalachian Power. 2026. </w:t>
      </w:r>
      <w:hyperlink r:id="rId27" w:history="1">
        <w:r w:rsidRPr="00DF6555">
          <w:rPr>
            <w:rStyle w:val="Hyperlink"/>
            <w:sz w:val="16"/>
            <w:szCs w:val="16"/>
            <w:lang w:val="en-CA"/>
          </w:rPr>
          <w:t>https://www.appalachianpower.com/clean-energy/renewable/solar/shared-solar-program</w:t>
        </w:r>
      </w:hyperlink>
      <w:r w:rsidRPr="00DF6555">
        <w:rPr>
          <w:sz w:val="16"/>
          <w:szCs w:val="16"/>
          <w:lang w:val="en-CA"/>
        </w:rPr>
        <w:t xml:space="preserve">. </w:t>
      </w:r>
    </w:p>
  </w:footnote>
  <w:footnote w:id="47">
    <w:p w14:paraId="18457B93" w14:textId="77777777" w:rsidR="00C44B30" w:rsidRPr="005F4D72" w:rsidRDefault="00C44B30" w:rsidP="00C44B30">
      <w:pPr>
        <w:rPr>
          <w:sz w:val="16"/>
          <w:szCs w:val="16"/>
        </w:rPr>
      </w:pPr>
      <w:r w:rsidRPr="00710B87">
        <w:rPr>
          <w:rStyle w:val="FootnoteReference"/>
          <w:sz w:val="16"/>
          <w:szCs w:val="16"/>
        </w:rPr>
        <w:footnoteRef/>
      </w:r>
      <w:r w:rsidRPr="00710B87">
        <w:rPr>
          <w:sz w:val="16"/>
          <w:szCs w:val="16"/>
        </w:rPr>
        <w:t>Virginia DMV data, provided by Virginia Energy</w:t>
      </w:r>
      <w:r>
        <w:rPr>
          <w:sz w:val="16"/>
          <w:szCs w:val="16"/>
        </w:rPr>
        <w:t>.</w:t>
      </w:r>
    </w:p>
  </w:footnote>
  <w:footnote w:id="48">
    <w:p w14:paraId="4F9916BD" w14:textId="70B734D9" w:rsidR="00BE2198" w:rsidRDefault="00BE2198">
      <w:pPr>
        <w:pStyle w:val="FootnoteText"/>
      </w:pPr>
      <w:r>
        <w:rPr>
          <w:rStyle w:val="FootnoteReference"/>
        </w:rPr>
        <w:footnoteRef/>
      </w:r>
      <w:r>
        <w:t xml:space="preserve"> </w:t>
      </w:r>
      <w:r w:rsidRPr="00BE2198">
        <w:rPr>
          <w:sz w:val="16"/>
          <w:szCs w:val="16"/>
        </w:rPr>
        <w:t>U.S. Census Bureau</w:t>
      </w:r>
    </w:p>
  </w:footnote>
  <w:footnote w:id="49">
    <w:p w14:paraId="51C67B85" w14:textId="645F323C" w:rsidR="00CF73A0" w:rsidRDefault="00CF73A0">
      <w:pPr>
        <w:pStyle w:val="FootnoteText"/>
      </w:pPr>
      <w:r>
        <w:rPr>
          <w:rStyle w:val="FootnoteReference"/>
        </w:rPr>
        <w:footnoteRef/>
      </w:r>
      <w:r>
        <w:t xml:space="preserve"> </w:t>
      </w:r>
      <w:r w:rsidR="00D3645F" w:rsidRPr="00F13409">
        <w:rPr>
          <w:sz w:val="16"/>
          <w:szCs w:val="16"/>
        </w:rPr>
        <w:t>EIA 860 Net Metering 202</w:t>
      </w:r>
      <w:r w:rsidR="00F13409" w:rsidRPr="00F13409">
        <w:rPr>
          <w:sz w:val="16"/>
          <w:szCs w:val="16"/>
        </w:rPr>
        <w:t>5 dataset (December 2025)</w:t>
      </w:r>
    </w:p>
  </w:footnote>
  <w:footnote w:id="50">
    <w:p w14:paraId="5BC5C73B" w14:textId="77777777" w:rsidR="00706C17" w:rsidRPr="00E71854" w:rsidRDefault="00706C17" w:rsidP="00706C17">
      <w:pPr>
        <w:pStyle w:val="FootnoteText"/>
        <w:rPr>
          <w:sz w:val="16"/>
          <w:szCs w:val="16"/>
        </w:rPr>
      </w:pPr>
      <w:r>
        <w:rPr>
          <w:rStyle w:val="FootnoteReference"/>
        </w:rPr>
        <w:t>*</w:t>
      </w:r>
      <w:r w:rsidRPr="00E71854">
        <w:rPr>
          <w:sz w:val="16"/>
          <w:szCs w:val="16"/>
          <w:lang w:val="en-CA"/>
        </w:rPr>
        <w:t>Direct load control refers to programs where utilities remotely manage devices like smart thermostats and water heaters during peak periods.</w:t>
      </w:r>
    </w:p>
  </w:footnote>
  <w:footnote w:id="51">
    <w:p w14:paraId="4D791A8B" w14:textId="77777777" w:rsidR="00706C17" w:rsidRDefault="00706C17" w:rsidP="00706C17">
      <w:pPr>
        <w:pStyle w:val="FootnoteText"/>
      </w:pPr>
      <w:r>
        <w:rPr>
          <w:rStyle w:val="FootnoteReference"/>
        </w:rPr>
        <w:t>**</w:t>
      </w:r>
      <w:r w:rsidRPr="00E71854">
        <w:rPr>
          <w:sz w:val="16"/>
          <w:szCs w:val="16"/>
        </w:rPr>
        <w:t xml:space="preserve">An example of a price-based demand response program is </w:t>
      </w:r>
      <w:r w:rsidRPr="00E71854">
        <w:rPr>
          <w:sz w:val="16"/>
          <w:szCs w:val="16"/>
          <w:lang w:val="en-CA"/>
        </w:rPr>
        <w:t>a time-of-use program that utilizes a price signal to encourage customers to shift electricity usage away from peak demand periods.</w:t>
      </w:r>
    </w:p>
  </w:footnote>
  <w:footnote w:id="52">
    <w:p w14:paraId="784C4405" w14:textId="77777777" w:rsidR="00F9380C" w:rsidRDefault="00F9380C" w:rsidP="00F9380C">
      <w:pPr>
        <w:pStyle w:val="FootnoteText"/>
      </w:pPr>
      <w:r>
        <w:rPr>
          <w:rStyle w:val="FootnoteReference"/>
        </w:rPr>
        <w:footnoteRef/>
      </w:r>
      <w:r>
        <w:t xml:space="preserve"> </w:t>
      </w:r>
      <w:r w:rsidRPr="0062553E">
        <w:rPr>
          <w:sz w:val="16"/>
          <w:szCs w:val="16"/>
        </w:rPr>
        <w:t>Pew Playbook; Distributed Energy Can Unleash the Resilient, Affordable Grid of the Future</w:t>
      </w:r>
    </w:p>
  </w:footnote>
  <w:footnote w:id="53">
    <w:p w14:paraId="495C70EC" w14:textId="5C998F8C" w:rsidR="00EB7D88" w:rsidRPr="00CE2521" w:rsidRDefault="00EB7D88">
      <w:pPr>
        <w:pStyle w:val="FootnoteText"/>
        <w:rPr>
          <w:sz w:val="16"/>
          <w:szCs w:val="16"/>
        </w:rPr>
      </w:pPr>
      <w:r w:rsidRPr="00CE2521">
        <w:rPr>
          <w:rStyle w:val="FootnoteReference"/>
          <w:sz w:val="16"/>
          <w:szCs w:val="16"/>
        </w:rPr>
        <w:footnoteRef/>
      </w:r>
      <w:r w:rsidRPr="00CE2521">
        <w:rPr>
          <w:sz w:val="16"/>
          <w:szCs w:val="16"/>
        </w:rPr>
        <w:t xml:space="preserve"> </w:t>
      </w:r>
      <w:r w:rsidR="00392464" w:rsidRPr="00CE2521">
        <w:rPr>
          <w:sz w:val="16"/>
          <w:szCs w:val="16"/>
        </w:rPr>
        <w:t>In its August 4</w:t>
      </w:r>
      <w:r w:rsidR="00392464" w:rsidRPr="00CE2521">
        <w:rPr>
          <w:sz w:val="16"/>
          <w:szCs w:val="16"/>
          <w:vertAlign w:val="superscript"/>
        </w:rPr>
        <w:t>th</w:t>
      </w:r>
      <w:r w:rsidR="00392464" w:rsidRPr="00CE2521">
        <w:rPr>
          <w:sz w:val="16"/>
          <w:szCs w:val="16"/>
        </w:rPr>
        <w:t xml:space="preserve"> presentation to the Task Force, </w:t>
      </w:r>
      <w:r w:rsidRPr="00CE2521">
        <w:rPr>
          <w:sz w:val="16"/>
          <w:szCs w:val="16"/>
        </w:rPr>
        <w:t xml:space="preserve">NYSERDA described its Value of Distributed Energy Resources tariff as compensating projects according to energy and grid-service value, with higher payments for resources located in congested areas or performing during peak periods; its declining-block incentive structure </w:t>
      </w:r>
      <w:r w:rsidR="00392464" w:rsidRPr="00392464">
        <w:rPr>
          <w:sz w:val="16"/>
          <w:szCs w:val="16"/>
        </w:rPr>
        <w:t xml:space="preserve">was used to </w:t>
      </w:r>
      <w:r w:rsidRPr="00CE2521">
        <w:rPr>
          <w:sz w:val="16"/>
          <w:szCs w:val="16"/>
        </w:rPr>
        <w:t>supplement tariff revenues and support early-market project economics.</w:t>
      </w:r>
    </w:p>
  </w:footnote>
  <w:footnote w:id="54">
    <w:p w14:paraId="1648EAD0" w14:textId="77777777" w:rsidR="00F73492" w:rsidRDefault="00F73492" w:rsidP="00F73492">
      <w:pPr>
        <w:pStyle w:val="FootnoteText"/>
      </w:pPr>
      <w:r>
        <w:rPr>
          <w:rStyle w:val="FootnoteReference"/>
        </w:rPr>
        <w:footnoteRef/>
      </w:r>
      <w:r>
        <w:t xml:space="preserve"> Dominion acknowledges the need for a rulemaking for several of the core policy areas -- “</w:t>
      </w:r>
      <w:r w:rsidRPr="004F6D49">
        <w:t>rulemaking proceedings may be needed to develop and adopt rules regarding utility workstreams and protocols in the administration of FERC Order 2222 at the state level.</w:t>
      </w:r>
      <w:r>
        <w:t>”</w:t>
      </w:r>
    </w:p>
  </w:footnote>
  <w:footnote w:id="55">
    <w:p w14:paraId="07524423" w14:textId="43DA7993" w:rsidR="00757932" w:rsidRDefault="00757932">
      <w:pPr>
        <w:pStyle w:val="FootnoteText"/>
      </w:pPr>
      <w:r>
        <w:rPr>
          <w:rStyle w:val="FootnoteReference"/>
        </w:rPr>
        <w:t>*</w:t>
      </w:r>
      <w:r>
        <w:t xml:space="preserve"> </w:t>
      </w:r>
      <w:r w:rsidR="00BE7E85">
        <w:t>An example of a</w:t>
      </w:r>
      <w:r w:rsidR="00BE7E85" w:rsidRPr="00BE7E85">
        <w:t xml:space="preserve"> shared-savings mechanism </w:t>
      </w:r>
      <w:r w:rsidR="00BE7E85">
        <w:t>is a requirement that</w:t>
      </w:r>
      <w:r w:rsidR="00BE7E85" w:rsidRPr="00BE7E85">
        <w:t xml:space="preserve"> splits DER/non-wires-alternative-driven savings between the utility and ratepayer.</w:t>
      </w:r>
    </w:p>
  </w:footnote>
  <w:footnote w:id="56">
    <w:p w14:paraId="43B4E387" w14:textId="19E462C0" w:rsidR="00773B78" w:rsidRDefault="00773B78">
      <w:pPr>
        <w:pStyle w:val="FootnoteText"/>
      </w:pPr>
      <w:r w:rsidRPr="00BB185E">
        <w:rPr>
          <w:rStyle w:val="FootnoteReference"/>
          <w:sz w:val="18"/>
          <w:szCs w:val="18"/>
        </w:rPr>
        <w:footnoteRef/>
      </w:r>
      <w:r w:rsidRPr="00BB185E">
        <w:rPr>
          <w:sz w:val="18"/>
          <w:szCs w:val="18"/>
        </w:rPr>
        <w:t xml:space="preserve"> Case Nos. PUR-2022-00073 and PUR-2023-00069</w:t>
      </w:r>
    </w:p>
  </w:footnote>
  <w:footnote w:id="57">
    <w:p w14:paraId="6BB6BC23" w14:textId="77777777" w:rsidR="00FA6AE3" w:rsidRDefault="00FA6AE3" w:rsidP="00FA6AE3">
      <w:pPr>
        <w:pStyle w:val="FootnoteText"/>
      </w:pPr>
      <w:r>
        <w:rPr>
          <w:rStyle w:val="FootnoteReference"/>
        </w:rPr>
        <w:footnoteRef/>
      </w:r>
      <w:r>
        <w:t xml:space="preserve"> </w:t>
      </w:r>
      <w:r w:rsidRPr="00C97EC5">
        <w:rPr>
          <w:sz w:val="18"/>
          <w:szCs w:val="18"/>
        </w:rPr>
        <w:t>IEEE 1547 and UL 1741 specify how smart inverters and batteries must physically behave and be certified. IEEE 1547-2018 introduces mandatory smart inverter functions—such as voltage ride-through, reactive power support, and interoperable communications protocols. UL 1741 is the testing standard certifying that inverters reliably perform these IEEE 1547-2018 functions.</w:t>
      </w:r>
    </w:p>
  </w:footnote>
  <w:footnote w:id="58">
    <w:p w14:paraId="4210D123" w14:textId="14C52BF9" w:rsidR="009B084C" w:rsidRDefault="009B084C">
      <w:pPr>
        <w:pStyle w:val="FootnoteText"/>
      </w:pPr>
      <w:r>
        <w:rPr>
          <w:rStyle w:val="FootnoteReference"/>
        </w:rPr>
        <w:footnoteRef/>
      </w:r>
      <w:r>
        <w:t xml:space="preserve"> </w:t>
      </w:r>
      <w:r w:rsidR="005A2D39" w:rsidRPr="00CE2521">
        <w:rPr>
          <w:sz w:val="16"/>
          <w:szCs w:val="16"/>
        </w:rPr>
        <w:t>“</w:t>
      </w:r>
      <w:r w:rsidR="0016791E" w:rsidRPr="00CE2521">
        <w:rPr>
          <w:sz w:val="16"/>
          <w:szCs w:val="16"/>
        </w:rPr>
        <w:t xml:space="preserve">Virginia Distributed Energy Resources White Paper: </w:t>
      </w:r>
      <w:r w:rsidR="005F405E" w:rsidRPr="00CE2521">
        <w:rPr>
          <w:sz w:val="16"/>
          <w:szCs w:val="16"/>
        </w:rPr>
        <w:t xml:space="preserve">From Fragmented Policy to Integrate </w:t>
      </w:r>
      <w:r w:rsidR="002F1DD0" w:rsidRPr="00CE2521">
        <w:rPr>
          <w:sz w:val="16"/>
          <w:szCs w:val="16"/>
        </w:rPr>
        <w:t>System</w:t>
      </w:r>
      <w:r w:rsidR="005F405E" w:rsidRPr="00CE2521">
        <w:rPr>
          <w:sz w:val="16"/>
          <w:szCs w:val="16"/>
        </w:rPr>
        <w:t xml:space="preserve"> Design: A Roadmap for an affordable, Resilient and Fully Utilized Distributed Grid,”</w:t>
      </w:r>
      <w:r w:rsidR="0016791E" w:rsidRPr="00CE2521">
        <w:rPr>
          <w:sz w:val="16"/>
          <w:szCs w:val="16"/>
        </w:rPr>
        <w:t xml:space="preserve"> </w:t>
      </w:r>
      <w:r w:rsidR="00A43919" w:rsidRPr="00CE2521">
        <w:rPr>
          <w:sz w:val="16"/>
          <w:szCs w:val="16"/>
        </w:rPr>
        <w:t>Appendix C,</w:t>
      </w:r>
      <w:r w:rsidR="0016791E" w:rsidRPr="00CE2521">
        <w:rPr>
          <w:sz w:val="16"/>
          <w:szCs w:val="16"/>
        </w:rPr>
        <w:t xml:space="preserve"> Virginia </w:t>
      </w:r>
      <w:r w:rsidR="00A43919" w:rsidRPr="00CE2521">
        <w:rPr>
          <w:sz w:val="16"/>
          <w:szCs w:val="16"/>
        </w:rPr>
        <w:t>Distributed</w:t>
      </w:r>
      <w:r w:rsidR="0016791E" w:rsidRPr="00CE2521">
        <w:rPr>
          <w:sz w:val="16"/>
          <w:szCs w:val="16"/>
        </w:rPr>
        <w:t xml:space="preserve"> Solar Alliance, </w:t>
      </w:r>
      <w:r w:rsidR="003D145C" w:rsidRPr="003D145C">
        <w:rPr>
          <w:sz w:val="16"/>
          <w:szCs w:val="16"/>
        </w:rPr>
        <w:t>July</w:t>
      </w:r>
      <w:r w:rsidR="0016791E" w:rsidRPr="00CE2521">
        <w:rPr>
          <w:sz w:val="16"/>
          <w:szCs w:val="16"/>
        </w:rPr>
        <w:t xml:space="preserve"> </w:t>
      </w:r>
      <w:r w:rsidR="00A43919" w:rsidRPr="00CE2521">
        <w:rPr>
          <w:sz w:val="16"/>
          <w:szCs w:val="16"/>
        </w:rPr>
        <w:t xml:space="preserve">2026. </w:t>
      </w:r>
    </w:p>
  </w:footnote>
  <w:footnote w:id="59">
    <w:p w14:paraId="141FADB3" w14:textId="77777777" w:rsidR="0047569D" w:rsidRDefault="0047569D" w:rsidP="0047569D">
      <w:r>
        <w:rPr>
          <w:rStyle w:val="FootnoteReference"/>
        </w:rPr>
        <w:footnoteRef/>
      </w:r>
      <w:r>
        <w:rPr>
          <w:sz w:val="18"/>
          <w:szCs w:val="18"/>
        </w:rPr>
        <w:t>Virginia Energy, Distributed Energy Resources (DER) Task Force, Meeting 1 Materials (July 16, 2026), https://www.energy.virginia.gov/renewable-energy/documents/DER/Meeting%201%20Materials_v1.pdf.</w:t>
      </w:r>
    </w:p>
  </w:footnote>
  <w:footnote w:id="60">
    <w:p w14:paraId="33CE0955" w14:textId="305A5F10" w:rsidR="007E2E9E" w:rsidRPr="00F76C1A" w:rsidRDefault="007E2E9E" w:rsidP="007E2E9E">
      <w:pPr>
        <w:rPr>
          <w:sz w:val="16"/>
          <w:szCs w:val="16"/>
        </w:rPr>
      </w:pPr>
      <w:r w:rsidRPr="00F76C1A">
        <w:rPr>
          <w:rStyle w:val="FootnoteReference"/>
          <w:sz w:val="16"/>
          <w:szCs w:val="16"/>
        </w:rPr>
        <w:footnoteRef/>
      </w:r>
      <w:r w:rsidRPr="00F76C1A">
        <w:rPr>
          <w:sz w:val="16"/>
          <w:szCs w:val="16"/>
        </w:rPr>
        <w:t xml:space="preserve">2018 Acts of Assembly, Chapter 296 (SB 966), </w:t>
      </w:r>
      <w:hyperlink r:id="rId28" w:history="1">
        <w:r w:rsidRPr="00F76C1A">
          <w:rPr>
            <w:rStyle w:val="Hyperlink"/>
            <w:sz w:val="16"/>
            <w:szCs w:val="16"/>
          </w:rPr>
          <w:t>https://law.lis.virginia.gov/uncodifiedacts/2018/session1/chapter296/</w:t>
        </w:r>
      </w:hyperlink>
      <w:r w:rsidRPr="00F76C1A">
        <w:rPr>
          <w:sz w:val="16"/>
          <w:szCs w:val="16"/>
        </w:rPr>
        <w:t xml:space="preserve">; storage pilot capacity figures (30 MW Dominion / 10 MW Appalachian Power) per </w:t>
      </w:r>
      <w:hyperlink r:id="rId29" w:history="1">
        <w:r w:rsidRPr="00F76C1A">
          <w:rPr>
            <w:rStyle w:val="Hyperlink"/>
            <w:sz w:val="16"/>
            <w:szCs w:val="16"/>
          </w:rPr>
          <w:t>https://virginiamercury.com/2019/11/15/battery-storage-could-be-a-key-to-cutting-emissions-whats-virginia-doing-about-it/</w:t>
        </w:r>
      </w:hyperlink>
      <w:r w:rsidRPr="00F76C1A">
        <w:rPr>
          <w:sz w:val="16"/>
          <w:szCs w:val="16"/>
        </w:rPr>
        <w:t>. ⚠ Non-Virginia-government source used only to confirm the MW split; the chapter itself is the primary source for the mandate.</w:t>
      </w:r>
    </w:p>
  </w:footnote>
  <w:footnote w:id="61">
    <w:p w14:paraId="0248D5CD" w14:textId="77777777" w:rsidR="007E2E9E" w:rsidRPr="00F76C1A" w:rsidRDefault="007E2E9E" w:rsidP="007E2E9E">
      <w:pPr>
        <w:rPr>
          <w:sz w:val="16"/>
          <w:szCs w:val="16"/>
        </w:rPr>
      </w:pPr>
      <w:r w:rsidRPr="00F76C1A">
        <w:rPr>
          <w:rStyle w:val="FootnoteReference"/>
          <w:sz w:val="16"/>
          <w:szCs w:val="16"/>
        </w:rPr>
        <w:footnoteRef/>
      </w:r>
      <w:r w:rsidRPr="00F76C1A">
        <w:rPr>
          <w:sz w:val="16"/>
          <w:szCs w:val="16"/>
        </w:rPr>
        <w:t xml:space="preserve">2020 Acts of Assembly, Chapter 1193 (HB 1526) / Chapter 1194 (SB 851), codified in relevant part at Code of Virginia § 56-585.5, </w:t>
      </w:r>
      <w:hyperlink r:id="rId30" w:history="1">
        <w:r w:rsidRPr="00F76C1A">
          <w:rPr>
            <w:rStyle w:val="Hyperlink"/>
            <w:sz w:val="16"/>
            <w:szCs w:val="16"/>
          </w:rPr>
          <w:t>https://law.lis.virginia.gov/vacode/56-585.5/</w:t>
        </w:r>
      </w:hyperlink>
      <w:r w:rsidRPr="00F76C1A">
        <w:rPr>
          <w:sz w:val="16"/>
          <w:szCs w:val="16"/>
        </w:rPr>
        <w:t>.</w:t>
      </w:r>
    </w:p>
  </w:footnote>
  <w:footnote w:id="62">
    <w:p w14:paraId="3F3EDDBC" w14:textId="77777777" w:rsidR="007E2E9E" w:rsidRPr="00F76C1A" w:rsidRDefault="007E2E9E" w:rsidP="007E2E9E">
      <w:pPr>
        <w:rPr>
          <w:sz w:val="16"/>
          <w:szCs w:val="16"/>
        </w:rPr>
      </w:pPr>
      <w:r w:rsidRPr="00F76C1A">
        <w:rPr>
          <w:rStyle w:val="FootnoteReference"/>
          <w:sz w:val="16"/>
          <w:szCs w:val="16"/>
        </w:rPr>
        <w:footnoteRef/>
      </w:r>
      <w:r w:rsidRPr="00F76C1A">
        <w:rPr>
          <w:sz w:val="16"/>
          <w:szCs w:val="16"/>
        </w:rPr>
        <w:t xml:space="preserve">2026 Acts of Assembly, Chapter 1042 (HB 285) / Chapter 997 (SB 223), </w:t>
      </w:r>
      <w:hyperlink r:id="rId31" w:history="1">
        <w:r w:rsidRPr="00F76C1A">
          <w:rPr>
            <w:rStyle w:val="Hyperlink"/>
            <w:sz w:val="16"/>
            <w:szCs w:val="16"/>
          </w:rPr>
          <w:t>https://lis.virginia.gov/bill-details/20261/HB285</w:t>
        </w:r>
      </w:hyperlink>
      <w:r w:rsidRPr="00F76C1A">
        <w:rPr>
          <w:sz w:val="16"/>
          <w:szCs w:val="16"/>
        </w:rPr>
        <w:t>.</w:t>
      </w:r>
    </w:p>
  </w:footnote>
  <w:footnote w:id="63">
    <w:p w14:paraId="69CD3AFB" w14:textId="77777777" w:rsidR="007E2E9E" w:rsidRPr="00F76C1A" w:rsidRDefault="007E2E9E" w:rsidP="007E2E9E">
      <w:pPr>
        <w:rPr>
          <w:sz w:val="16"/>
          <w:szCs w:val="16"/>
        </w:rPr>
      </w:pPr>
      <w:r w:rsidRPr="00F76C1A">
        <w:rPr>
          <w:rStyle w:val="FootnoteReference"/>
          <w:sz w:val="16"/>
          <w:szCs w:val="16"/>
        </w:rPr>
        <w:footnoteRef/>
      </w:r>
      <w:r w:rsidRPr="00F76C1A">
        <w:rPr>
          <w:sz w:val="16"/>
          <w:szCs w:val="16"/>
        </w:rPr>
        <w:t xml:space="preserve">Virginia H.B. 807 / S.B. 254 (2026), codified in relevant part at Code of Virginia § 56-594.3, </w:t>
      </w:r>
      <w:hyperlink r:id="rId32" w:history="1">
        <w:r w:rsidRPr="00F76C1A">
          <w:rPr>
            <w:rStyle w:val="Hyperlink"/>
            <w:sz w:val="16"/>
            <w:szCs w:val="16"/>
          </w:rPr>
          <w:t>https://lis.virginia.gov/bill-details/20261/HB807</w:t>
        </w:r>
      </w:hyperlink>
      <w:r w:rsidRPr="00F76C1A">
        <w:rPr>
          <w:sz w:val="16"/>
          <w:szCs w:val="16"/>
        </w:rPr>
        <w:t xml:space="preserve">; program capacity split (450 MW / 75 MW) per Dominion Energy, “Shared Solar Program,” </w:t>
      </w:r>
      <w:hyperlink r:id="rId33" w:history="1">
        <w:r w:rsidRPr="00F76C1A">
          <w:rPr>
            <w:rStyle w:val="Hyperlink"/>
            <w:sz w:val="16"/>
            <w:szCs w:val="16"/>
          </w:rPr>
          <w:t>https://www.dominionenergy.com/virginia/renewable-energy-programs/shared-solar-program</w:t>
        </w:r>
      </w:hyperlink>
      <w:r w:rsidRPr="00F76C1A">
        <w:rPr>
          <w:sz w:val="16"/>
          <w:szCs w:val="16"/>
        </w:rPr>
        <w:t>. Signed by Governor Spanberger April 14, 2026.</w:t>
      </w:r>
    </w:p>
  </w:footnote>
  <w:footnote w:id="64">
    <w:p w14:paraId="015C9D2F" w14:textId="77777777" w:rsidR="007E2E9E" w:rsidRPr="00F76C1A" w:rsidRDefault="007E2E9E" w:rsidP="007E2E9E">
      <w:pPr>
        <w:rPr>
          <w:sz w:val="16"/>
          <w:szCs w:val="16"/>
        </w:rPr>
      </w:pPr>
      <w:r w:rsidRPr="00F76C1A">
        <w:rPr>
          <w:rStyle w:val="FootnoteReference"/>
          <w:sz w:val="16"/>
          <w:szCs w:val="16"/>
        </w:rPr>
        <w:footnoteRef/>
      </w:r>
      <w:r w:rsidRPr="00F76C1A">
        <w:rPr>
          <w:sz w:val="16"/>
          <w:szCs w:val="16"/>
        </w:rPr>
        <w:t xml:space="preserve">Virginia H.B. 809 / S.B. 255 (2026), </w:t>
      </w:r>
      <w:hyperlink r:id="rId34" w:history="1">
        <w:r w:rsidRPr="00F76C1A">
          <w:rPr>
            <w:rStyle w:val="Hyperlink"/>
            <w:sz w:val="16"/>
            <w:szCs w:val="16"/>
          </w:rPr>
          <w:t>https://lis.virginia.gov/bill-details/20261/HB809</w:t>
        </w:r>
      </w:hyperlink>
      <w:r w:rsidRPr="00F76C1A">
        <w:rPr>
          <w:sz w:val="16"/>
          <w:szCs w:val="16"/>
        </w:rPr>
        <w:t>. Signed by Governor Spanberger April 14, 2026.</w:t>
      </w:r>
    </w:p>
  </w:footnote>
  <w:footnote w:id="65">
    <w:p w14:paraId="5906BA10" w14:textId="77777777" w:rsidR="007E2E9E" w:rsidRPr="00F76C1A" w:rsidRDefault="007E2E9E" w:rsidP="007E2E9E">
      <w:pPr>
        <w:rPr>
          <w:sz w:val="16"/>
          <w:szCs w:val="16"/>
        </w:rPr>
      </w:pPr>
      <w:r w:rsidRPr="00F76C1A">
        <w:rPr>
          <w:rStyle w:val="FootnoteReference"/>
          <w:sz w:val="16"/>
          <w:szCs w:val="16"/>
        </w:rPr>
        <w:footnoteRef/>
      </w:r>
      <w:r w:rsidRPr="00F76C1A">
        <w:rPr>
          <w:sz w:val="16"/>
          <w:szCs w:val="16"/>
        </w:rPr>
        <w:t xml:space="preserve">Virginia H.B. 895 / S.B. 448 (2026), amending Code of Virginia §§ 56-580 and 56-585.5 and adding Title 45.2, Chapter 22 (§ 45.2-2200), </w:t>
      </w:r>
      <w:hyperlink r:id="rId35" w:history="1">
        <w:r w:rsidRPr="00F76C1A">
          <w:rPr>
            <w:rStyle w:val="Hyperlink"/>
            <w:sz w:val="16"/>
            <w:szCs w:val="16"/>
          </w:rPr>
          <w:t>https://lis.virginia.gov/bill-details/20261/HB895</w:t>
        </w:r>
      </w:hyperlink>
      <w:r w:rsidRPr="00F76C1A">
        <w:rPr>
          <w:sz w:val="16"/>
          <w:szCs w:val="16"/>
        </w:rPr>
        <w:t xml:space="preserve">; coalfield-siting detail per Commission on Electric Utility Regulation (CEUR), </w:t>
      </w:r>
      <w:r w:rsidRPr="00F76C1A">
        <w:rPr>
          <w:i/>
          <w:iCs/>
          <w:sz w:val="16"/>
          <w:szCs w:val="16"/>
        </w:rPr>
        <w:t>2026 Energy Legislation Summary</w:t>
      </w:r>
      <w:r w:rsidRPr="00F76C1A">
        <w:rPr>
          <w:sz w:val="16"/>
          <w:szCs w:val="16"/>
        </w:rPr>
        <w:t xml:space="preserve">, </w:t>
      </w:r>
      <w:hyperlink r:id="rId36" w:history="1">
        <w:r w:rsidRPr="00F76C1A">
          <w:rPr>
            <w:rStyle w:val="Hyperlink"/>
            <w:sz w:val="16"/>
            <w:szCs w:val="16"/>
          </w:rPr>
          <w:t>https://dls.virginia.gov/commissions/eur/files/Energy_Legislation_Virginia_2026_CEUR_Summary.pdf</w:t>
        </w:r>
      </w:hyperlink>
      <w:r w:rsidRPr="00F76C1A">
        <w:rPr>
          <w:sz w:val="16"/>
          <w:szCs w:val="16"/>
        </w:rPr>
        <w:t xml:space="preserve"> (Division of Legislative Services, an agency of the Virginia General Assembly). Effective July 1, 2026.</w:t>
      </w:r>
    </w:p>
  </w:footnote>
  <w:footnote w:id="66">
    <w:p w14:paraId="721CD52C" w14:textId="77777777" w:rsidR="007E2E9E" w:rsidRDefault="007E2E9E" w:rsidP="007E2E9E">
      <w:r w:rsidRPr="00F76C1A">
        <w:rPr>
          <w:rStyle w:val="FootnoteReference"/>
          <w:sz w:val="16"/>
          <w:szCs w:val="16"/>
        </w:rPr>
        <w:footnoteRef/>
      </w:r>
      <w:r w:rsidRPr="00F76C1A">
        <w:rPr>
          <w:sz w:val="16"/>
          <w:szCs w:val="16"/>
        </w:rPr>
        <w:t xml:space="preserve">Virginia H.B. 284 (2026), </w:t>
      </w:r>
      <w:hyperlink r:id="rId37" w:history="1">
        <w:r w:rsidRPr="00F76C1A">
          <w:rPr>
            <w:rStyle w:val="Hyperlink"/>
            <w:sz w:val="16"/>
            <w:szCs w:val="16"/>
          </w:rPr>
          <w:t>https://lis.virginia.gov/bill-details/20261/HB284</w:t>
        </w:r>
      </w:hyperlink>
      <w:r w:rsidRPr="00F76C1A">
        <w:rPr>
          <w:sz w:val="16"/>
          <w:szCs w:val="16"/>
        </w:rPr>
        <w:t>.</w:t>
      </w:r>
    </w:p>
  </w:footnote>
  <w:footnote w:id="67">
    <w:p w14:paraId="572AEAB9" w14:textId="77777777" w:rsidR="007E2E9E" w:rsidRPr="00F76C1A" w:rsidRDefault="007E2E9E" w:rsidP="007E2E9E">
      <w:pPr>
        <w:rPr>
          <w:sz w:val="16"/>
          <w:szCs w:val="16"/>
        </w:rPr>
      </w:pPr>
      <w:r w:rsidRPr="00F76C1A">
        <w:rPr>
          <w:rStyle w:val="FootnoteReference"/>
          <w:sz w:val="16"/>
          <w:szCs w:val="16"/>
        </w:rPr>
        <w:footnoteRef/>
      </w:r>
      <w:r w:rsidRPr="00F76C1A">
        <w:rPr>
          <w:sz w:val="16"/>
          <w:szCs w:val="16"/>
        </w:rPr>
        <w:t xml:space="preserve">2026 Acts of Assembly, Chapter 611 (HB 434) / Chapter 612 (SB 621), </w:t>
      </w:r>
      <w:hyperlink r:id="rId38" w:history="1">
        <w:r w:rsidRPr="00F76C1A">
          <w:rPr>
            <w:rStyle w:val="Hyperlink"/>
            <w:sz w:val="16"/>
            <w:szCs w:val="16"/>
          </w:rPr>
          <w:t>https://lis.virginia.gov/bill-details/20261/HB434/text/CHAP0611</w:t>
        </w:r>
      </w:hyperlink>
      <w:r w:rsidRPr="00F76C1A">
        <w:rPr>
          <w:sz w:val="16"/>
          <w:szCs w:val="16"/>
        </w:rPr>
        <w:t xml:space="preserve">; bill text (October 15, 2026 petition deadline) per </w:t>
      </w:r>
      <w:hyperlink r:id="rId39" w:history="1">
        <w:r w:rsidRPr="00F76C1A">
          <w:rPr>
            <w:rStyle w:val="Hyperlink"/>
            <w:sz w:val="16"/>
            <w:szCs w:val="16"/>
          </w:rPr>
          <w:t>https://legiscan.com/VA/text/SB621/id/3361187</w:t>
        </w:r>
      </w:hyperlink>
      <w:r w:rsidRPr="00F76C1A">
        <w:rPr>
          <w:sz w:val="16"/>
          <w:szCs w:val="16"/>
        </w:rPr>
        <w:t xml:space="preserve">. </w:t>
      </w:r>
    </w:p>
  </w:footnote>
  <w:footnote w:id="68">
    <w:p w14:paraId="247BB139" w14:textId="77777777" w:rsidR="007E2E9E" w:rsidRPr="00F76C1A" w:rsidRDefault="007E2E9E" w:rsidP="007E2E9E">
      <w:pPr>
        <w:rPr>
          <w:sz w:val="16"/>
          <w:szCs w:val="16"/>
        </w:rPr>
      </w:pPr>
      <w:r w:rsidRPr="00F76C1A">
        <w:rPr>
          <w:rStyle w:val="FootnoteReference"/>
          <w:sz w:val="16"/>
          <w:szCs w:val="16"/>
        </w:rPr>
        <w:footnoteRef/>
      </w:r>
      <w:r w:rsidRPr="00F76C1A">
        <w:rPr>
          <w:sz w:val="16"/>
          <w:szCs w:val="16"/>
        </w:rPr>
        <w:t xml:space="preserve">Virginia H.B. 628 / S.B. 175 (2026), </w:t>
      </w:r>
      <w:hyperlink r:id="rId40" w:history="1">
        <w:r w:rsidRPr="00F76C1A">
          <w:rPr>
            <w:rStyle w:val="Hyperlink"/>
            <w:sz w:val="16"/>
            <w:szCs w:val="16"/>
          </w:rPr>
          <w:t>https://lis.virginia.gov/bill-details/20261/HB628</w:t>
        </w:r>
      </w:hyperlink>
      <w:r w:rsidRPr="00F76C1A">
        <w:rPr>
          <w:sz w:val="16"/>
          <w:szCs w:val="16"/>
        </w:rPr>
        <w:t xml:space="preserve">; provisions as described by the Solar Energy Industries Association, </w:t>
      </w:r>
      <w:hyperlink w:history="1">
        <w:r w:rsidRPr="00F76C1A">
          <w:rPr>
            <w:rStyle w:val="Hyperlink"/>
            <w:sz w:val="16"/>
            <w:szCs w:val="16"/>
          </w:rPr>
          <w:t>https://seia.org/news/statement-spanberger-delivers-on-energy-affordability/</w:t>
        </w:r>
      </w:hyperlink>
      <w:r w:rsidRPr="00F76C1A">
        <w:rPr>
          <w:sz w:val="16"/>
          <w:szCs w:val="16"/>
        </w:rPr>
        <w:t xml:space="preserve">, and Advanced Energy United, </w:t>
      </w:r>
      <w:hyperlink w:history="1">
        <w:r w:rsidRPr="00F76C1A">
          <w:rPr>
            <w:rStyle w:val="Hyperlink"/>
            <w:sz w:val="16"/>
            <w:szCs w:val="16"/>
          </w:rPr>
          <w:t>https://advancedenergyunited.org/blog/virginias-2026-legislative-session-delivered-major-clean-energy-wins/</w:t>
        </w:r>
      </w:hyperlink>
      <w:r w:rsidRPr="00F76C1A">
        <w:rPr>
          <w:sz w:val="16"/>
          <w:szCs w:val="16"/>
        </w:rPr>
        <w:t xml:space="preserve">. </w:t>
      </w:r>
    </w:p>
  </w:footnote>
  <w:footnote w:id="69">
    <w:p w14:paraId="384A8E68" w14:textId="77777777" w:rsidR="007E2E9E" w:rsidRPr="00F76C1A" w:rsidRDefault="007E2E9E" w:rsidP="007E2E9E">
      <w:pPr>
        <w:rPr>
          <w:sz w:val="16"/>
          <w:szCs w:val="16"/>
        </w:rPr>
      </w:pPr>
      <w:r w:rsidRPr="00F76C1A">
        <w:rPr>
          <w:rStyle w:val="FootnoteReference"/>
          <w:sz w:val="16"/>
          <w:szCs w:val="16"/>
        </w:rPr>
        <w:footnoteRef/>
      </w:r>
      <w:r w:rsidRPr="00F76C1A">
        <w:rPr>
          <w:sz w:val="16"/>
          <w:szCs w:val="16"/>
        </w:rPr>
        <w:t xml:space="preserve">Virginia H.B. 1255 (2026), amending Code of Virginia § 56-594, </w:t>
      </w:r>
      <w:hyperlink r:id="rId41" w:history="1">
        <w:r w:rsidRPr="00F76C1A">
          <w:rPr>
            <w:rStyle w:val="Hyperlink"/>
            <w:sz w:val="16"/>
            <w:szCs w:val="16"/>
          </w:rPr>
          <w:t>https://lis.virginia.gov/bill-details/20261/HB1255</w:t>
        </w:r>
      </w:hyperlink>
      <w:r w:rsidRPr="00F76C1A">
        <w:rPr>
          <w:sz w:val="16"/>
          <w:szCs w:val="16"/>
        </w:rPr>
        <w:t>.</w:t>
      </w:r>
    </w:p>
  </w:footnote>
  <w:footnote w:id="70">
    <w:p w14:paraId="1F45F630" w14:textId="77777777" w:rsidR="007E2E9E" w:rsidRPr="00F76C1A" w:rsidRDefault="007E2E9E" w:rsidP="007E2E9E">
      <w:pPr>
        <w:rPr>
          <w:sz w:val="16"/>
          <w:szCs w:val="16"/>
        </w:rPr>
      </w:pPr>
      <w:r w:rsidRPr="00F76C1A">
        <w:rPr>
          <w:rStyle w:val="FootnoteReference"/>
          <w:sz w:val="16"/>
          <w:szCs w:val="16"/>
        </w:rPr>
        <w:footnoteRef/>
      </w:r>
      <w:r w:rsidRPr="00F76C1A">
        <w:rPr>
          <w:sz w:val="16"/>
          <w:szCs w:val="16"/>
        </w:rPr>
        <w:t xml:space="preserve">Virginia S.B. 823 / H.B. 590 (2026), </w:t>
      </w:r>
      <w:hyperlink r:id="rId42" w:history="1">
        <w:r w:rsidRPr="00F76C1A">
          <w:rPr>
            <w:rStyle w:val="Hyperlink"/>
            <w:sz w:val="16"/>
            <w:szCs w:val="16"/>
          </w:rPr>
          <w:t>https://lis.virginia.gov/bill-details/20261/SB823</w:t>
        </w:r>
      </w:hyperlink>
      <w:r w:rsidRPr="00F76C1A">
        <w:rPr>
          <w:sz w:val="16"/>
          <w:szCs w:val="16"/>
        </w:rPr>
        <w:t xml:space="preserve">; described in Solar United Neighbors, </w:t>
      </w:r>
      <w:hyperlink w:history="1">
        <w:r w:rsidRPr="00F76C1A">
          <w:rPr>
            <w:rStyle w:val="Hyperlink"/>
            <w:sz w:val="16"/>
            <w:szCs w:val="16"/>
          </w:rPr>
          <w:t>https://solarunitedneighbors.org/news/new-solar-laws-to-celebrate-in-virginia/</w:t>
        </w:r>
      </w:hyperlink>
      <w:r w:rsidRPr="00F76C1A">
        <w:rPr>
          <w:sz w:val="16"/>
          <w:szCs w:val="16"/>
        </w:rPr>
        <w:t xml:space="preserve">. </w:t>
      </w:r>
    </w:p>
  </w:footnote>
  <w:footnote w:id="71">
    <w:p w14:paraId="5A025113" w14:textId="77777777" w:rsidR="007E2E9E" w:rsidRPr="00F76C1A" w:rsidRDefault="007E2E9E" w:rsidP="007E2E9E">
      <w:pPr>
        <w:rPr>
          <w:sz w:val="16"/>
          <w:szCs w:val="16"/>
        </w:rPr>
      </w:pPr>
      <w:r w:rsidRPr="00F76C1A">
        <w:rPr>
          <w:rStyle w:val="FootnoteReference"/>
          <w:sz w:val="16"/>
          <w:szCs w:val="16"/>
        </w:rPr>
        <w:footnoteRef/>
      </w:r>
      <w:r w:rsidRPr="00F76C1A">
        <w:rPr>
          <w:sz w:val="16"/>
          <w:szCs w:val="16"/>
        </w:rPr>
        <w:t xml:space="preserve">Virginia S.B. 487 / H.B. 562 (2026), </w:t>
      </w:r>
      <w:hyperlink r:id="rId43" w:history="1">
        <w:r w:rsidRPr="00F76C1A">
          <w:rPr>
            <w:rStyle w:val="Hyperlink"/>
            <w:sz w:val="16"/>
            <w:szCs w:val="16"/>
          </w:rPr>
          <w:t>https://lis.virginia.gov/bill-details/20261/SB487</w:t>
        </w:r>
      </w:hyperlink>
      <w:r w:rsidRPr="00F76C1A">
        <w:rPr>
          <w:sz w:val="16"/>
          <w:szCs w:val="16"/>
        </w:rPr>
        <w:t xml:space="preserve">; described in National Caucus of Environmental Legislators, </w:t>
      </w:r>
      <w:hyperlink w:history="1">
        <w:r w:rsidRPr="00F76C1A">
          <w:rPr>
            <w:rStyle w:val="Hyperlink"/>
            <w:sz w:val="16"/>
            <w:szCs w:val="16"/>
          </w:rPr>
          <w:t>https://www.ncelenviro.org/articles/virginia-leads-the-way-on-energy-affordability-in-2026/</w:t>
        </w:r>
      </w:hyperlink>
      <w:r w:rsidRPr="00F76C1A">
        <w:rPr>
          <w:sz w:val="16"/>
          <w:szCs w:val="16"/>
        </w:rPr>
        <w:t xml:space="preserve">. </w:t>
      </w:r>
    </w:p>
  </w:footnote>
  <w:footnote w:id="72">
    <w:p w14:paraId="25ED243D" w14:textId="77777777" w:rsidR="007E2E9E" w:rsidRDefault="007E2E9E" w:rsidP="007E2E9E">
      <w:pPr>
        <w:rPr>
          <w:sz w:val="16"/>
          <w:szCs w:val="16"/>
        </w:rPr>
      </w:pPr>
      <w:r w:rsidRPr="00F76C1A">
        <w:rPr>
          <w:rStyle w:val="FootnoteReference"/>
          <w:sz w:val="16"/>
          <w:szCs w:val="16"/>
        </w:rPr>
        <w:footnoteRef/>
      </w:r>
      <w:r w:rsidRPr="00F76C1A">
        <w:rPr>
          <w:sz w:val="16"/>
          <w:szCs w:val="16"/>
        </w:rPr>
        <w:t xml:space="preserve">Virginia S.B. 382 / H.B. 395 (2026), </w:t>
      </w:r>
      <w:hyperlink r:id="rId44">
        <w:r w:rsidRPr="46FE04A4">
          <w:rPr>
            <w:rStyle w:val="Hyperlink"/>
            <w:sz w:val="16"/>
            <w:szCs w:val="16"/>
          </w:rPr>
          <w:t>https://lis.virginia.gov/bill-details/20261/SB382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C28F" w14:textId="22CB6277" w:rsidR="005D6CE7" w:rsidRDefault="00995D1A">
    <w:pPr>
      <w:pBdr>
        <w:bottom w:val="single" w:sz="4" w:space="4" w:color="C6CDD4"/>
      </w:pBdr>
      <w:tabs>
        <w:tab w:val="right" w:pos="9360"/>
      </w:tabs>
    </w:pPr>
    <w:r>
      <w:rPr>
        <w:color w:val="6B7280"/>
        <w:sz w:val="16"/>
        <w:szCs w:val="16"/>
      </w:rPr>
      <w:t>Virginia DER Task Force — Draft Report</w:t>
    </w:r>
    <w:r>
      <w:rPr>
        <w:sz w:val="16"/>
        <w:szCs w:val="16"/>
      </w:rPr>
      <w:tab/>
    </w:r>
    <w:r>
      <w:rPr>
        <w:b/>
        <w:bCs/>
        <w:color w:val="9C7A26"/>
        <w:sz w:val="16"/>
        <w:szCs w:val="16"/>
      </w:rPr>
      <w:t>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FE65B" w14:textId="22944468" w:rsidR="005D6CE7" w:rsidRDefault="00995D1A">
    <w:pPr>
      <w:pBdr>
        <w:bottom w:val="single" w:sz="4" w:space="4" w:color="C6CDD4"/>
      </w:pBdr>
      <w:tabs>
        <w:tab w:val="right" w:pos="9360"/>
      </w:tabs>
    </w:pPr>
    <w:r>
      <w:rPr>
        <w:color w:val="6B7280"/>
        <w:sz w:val="16"/>
        <w:szCs w:val="16"/>
      </w:rPr>
      <w:t>Virginia DER Task Force — Draft Report</w:t>
    </w:r>
    <w:r>
      <w:rPr>
        <w:sz w:val="16"/>
        <w:szCs w:val="16"/>
      </w:rPr>
      <w:tab/>
    </w:r>
    <w:r w:rsidRPr="001A128D">
      <w:rPr>
        <w:b/>
        <w:color w:val="9C7A26"/>
        <w:sz w:val="28"/>
        <w:szCs w:val="28"/>
      </w:rP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400"/>
    <w:multiLevelType w:val="hybridMultilevel"/>
    <w:tmpl w:val="C78495BE"/>
    <w:lvl w:ilvl="0" w:tplc="21D07DC0">
      <w:start w:val="1"/>
      <w:numFmt w:val="decimal"/>
      <w:lvlText w:val="%1)"/>
      <w:lvlJc w:val="left"/>
      <w:pPr>
        <w:ind w:left="720" w:hanging="360"/>
      </w:pPr>
    </w:lvl>
    <w:lvl w:ilvl="1" w:tplc="8DA09FB6">
      <w:start w:val="1"/>
      <w:numFmt w:val="decimal"/>
      <w:lvlText w:val="%2)"/>
      <w:lvlJc w:val="left"/>
      <w:pPr>
        <w:ind w:left="720" w:hanging="360"/>
      </w:pPr>
    </w:lvl>
    <w:lvl w:ilvl="2" w:tplc="7C065A6C">
      <w:start w:val="1"/>
      <w:numFmt w:val="decimal"/>
      <w:lvlText w:val="%3)"/>
      <w:lvlJc w:val="left"/>
      <w:pPr>
        <w:ind w:left="720" w:hanging="360"/>
      </w:pPr>
    </w:lvl>
    <w:lvl w:ilvl="3" w:tplc="727EEB4C">
      <w:start w:val="1"/>
      <w:numFmt w:val="decimal"/>
      <w:lvlText w:val="%4)"/>
      <w:lvlJc w:val="left"/>
      <w:pPr>
        <w:ind w:left="720" w:hanging="360"/>
      </w:pPr>
    </w:lvl>
    <w:lvl w:ilvl="4" w:tplc="54FE13BA">
      <w:start w:val="1"/>
      <w:numFmt w:val="decimal"/>
      <w:lvlText w:val="%5)"/>
      <w:lvlJc w:val="left"/>
      <w:pPr>
        <w:ind w:left="720" w:hanging="360"/>
      </w:pPr>
    </w:lvl>
    <w:lvl w:ilvl="5" w:tplc="06C63794">
      <w:start w:val="1"/>
      <w:numFmt w:val="decimal"/>
      <w:lvlText w:val="%6)"/>
      <w:lvlJc w:val="left"/>
      <w:pPr>
        <w:ind w:left="720" w:hanging="360"/>
      </w:pPr>
    </w:lvl>
    <w:lvl w:ilvl="6" w:tplc="B608CD1A">
      <w:start w:val="1"/>
      <w:numFmt w:val="decimal"/>
      <w:lvlText w:val="%7)"/>
      <w:lvlJc w:val="left"/>
      <w:pPr>
        <w:ind w:left="720" w:hanging="360"/>
      </w:pPr>
    </w:lvl>
    <w:lvl w:ilvl="7" w:tplc="DFD21450">
      <w:start w:val="1"/>
      <w:numFmt w:val="decimal"/>
      <w:lvlText w:val="%8)"/>
      <w:lvlJc w:val="left"/>
      <w:pPr>
        <w:ind w:left="720" w:hanging="360"/>
      </w:pPr>
    </w:lvl>
    <w:lvl w:ilvl="8" w:tplc="C7882F6A">
      <w:start w:val="1"/>
      <w:numFmt w:val="decimal"/>
      <w:lvlText w:val="%9)"/>
      <w:lvlJc w:val="left"/>
      <w:pPr>
        <w:ind w:left="720" w:hanging="360"/>
      </w:pPr>
    </w:lvl>
  </w:abstractNum>
  <w:abstractNum w:abstractNumId="1" w15:restartNumberingAfterBreak="0">
    <w:nsid w:val="01596F76"/>
    <w:multiLevelType w:val="hybridMultilevel"/>
    <w:tmpl w:val="1E203656"/>
    <w:numStyleLink w:val="ImportedStyle18"/>
  </w:abstractNum>
  <w:abstractNum w:abstractNumId="2" w15:restartNumberingAfterBreak="0">
    <w:nsid w:val="02411523"/>
    <w:multiLevelType w:val="hybridMultilevel"/>
    <w:tmpl w:val="470E7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6163D7"/>
    <w:multiLevelType w:val="hybridMultilevel"/>
    <w:tmpl w:val="03B69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DA1F7B"/>
    <w:multiLevelType w:val="hybridMultilevel"/>
    <w:tmpl w:val="1E203656"/>
    <w:lvl w:ilvl="0" w:tplc="CBD08EF0">
      <w:start w:val="1"/>
      <w:numFmt w:val="decimal"/>
      <w:lvlText w:val="%1)"/>
      <w:lvlJc w:val="left"/>
      <w:pPr>
        <w:ind w:left="720" w:hanging="360"/>
      </w:pPr>
    </w:lvl>
    <w:lvl w:ilvl="1" w:tplc="084A65D4">
      <w:start w:val="1"/>
      <w:numFmt w:val="decimal"/>
      <w:lvlText w:val="%2)"/>
      <w:lvlJc w:val="left"/>
      <w:pPr>
        <w:ind w:left="720" w:hanging="360"/>
      </w:pPr>
    </w:lvl>
    <w:lvl w:ilvl="2" w:tplc="04383198">
      <w:start w:val="1"/>
      <w:numFmt w:val="decimal"/>
      <w:lvlText w:val="%3)"/>
      <w:lvlJc w:val="left"/>
      <w:pPr>
        <w:ind w:left="720" w:hanging="360"/>
      </w:pPr>
    </w:lvl>
    <w:lvl w:ilvl="3" w:tplc="22628320">
      <w:start w:val="1"/>
      <w:numFmt w:val="decimal"/>
      <w:lvlText w:val="%4)"/>
      <w:lvlJc w:val="left"/>
      <w:pPr>
        <w:ind w:left="720" w:hanging="360"/>
      </w:pPr>
    </w:lvl>
    <w:lvl w:ilvl="4" w:tplc="DD2212EA">
      <w:start w:val="1"/>
      <w:numFmt w:val="decimal"/>
      <w:lvlText w:val="%5)"/>
      <w:lvlJc w:val="left"/>
      <w:pPr>
        <w:ind w:left="720" w:hanging="360"/>
      </w:pPr>
    </w:lvl>
    <w:lvl w:ilvl="5" w:tplc="1F66EE20">
      <w:start w:val="1"/>
      <w:numFmt w:val="decimal"/>
      <w:lvlText w:val="%6)"/>
      <w:lvlJc w:val="left"/>
      <w:pPr>
        <w:ind w:left="720" w:hanging="360"/>
      </w:pPr>
    </w:lvl>
    <w:lvl w:ilvl="6" w:tplc="0B60BF76">
      <w:start w:val="1"/>
      <w:numFmt w:val="decimal"/>
      <w:lvlText w:val="%7)"/>
      <w:lvlJc w:val="left"/>
      <w:pPr>
        <w:ind w:left="720" w:hanging="360"/>
      </w:pPr>
    </w:lvl>
    <w:lvl w:ilvl="7" w:tplc="B28E63E4">
      <w:start w:val="1"/>
      <w:numFmt w:val="decimal"/>
      <w:lvlText w:val="%8)"/>
      <w:lvlJc w:val="left"/>
      <w:pPr>
        <w:ind w:left="720" w:hanging="360"/>
      </w:pPr>
    </w:lvl>
    <w:lvl w:ilvl="8" w:tplc="9B64D3EC">
      <w:start w:val="1"/>
      <w:numFmt w:val="decimal"/>
      <w:lvlText w:val="%9)"/>
      <w:lvlJc w:val="left"/>
      <w:pPr>
        <w:ind w:left="720" w:hanging="360"/>
      </w:pPr>
    </w:lvl>
  </w:abstractNum>
  <w:abstractNum w:abstractNumId="5" w15:restartNumberingAfterBreak="0">
    <w:nsid w:val="07767638"/>
    <w:multiLevelType w:val="hybridMultilevel"/>
    <w:tmpl w:val="05ACF92C"/>
    <w:lvl w:ilvl="0" w:tplc="AA0C3524">
      <w:start w:val="1"/>
      <w:numFmt w:val="bullet"/>
      <w:lvlText w:val=""/>
      <w:lvlJc w:val="left"/>
      <w:pPr>
        <w:ind w:left="1440" w:hanging="360"/>
      </w:pPr>
      <w:rPr>
        <w:rFonts w:ascii="Symbol" w:hAnsi="Symbol"/>
      </w:rPr>
    </w:lvl>
    <w:lvl w:ilvl="1" w:tplc="FAEE306C">
      <w:start w:val="1"/>
      <w:numFmt w:val="bullet"/>
      <w:lvlText w:val=""/>
      <w:lvlJc w:val="left"/>
      <w:pPr>
        <w:ind w:left="1440" w:hanging="360"/>
      </w:pPr>
      <w:rPr>
        <w:rFonts w:ascii="Symbol" w:hAnsi="Symbol"/>
      </w:rPr>
    </w:lvl>
    <w:lvl w:ilvl="2" w:tplc="065C3ED8">
      <w:start w:val="1"/>
      <w:numFmt w:val="bullet"/>
      <w:lvlText w:val=""/>
      <w:lvlJc w:val="left"/>
      <w:pPr>
        <w:ind w:left="1440" w:hanging="360"/>
      </w:pPr>
      <w:rPr>
        <w:rFonts w:ascii="Symbol" w:hAnsi="Symbol"/>
      </w:rPr>
    </w:lvl>
    <w:lvl w:ilvl="3" w:tplc="48CC2354">
      <w:start w:val="1"/>
      <w:numFmt w:val="bullet"/>
      <w:lvlText w:val=""/>
      <w:lvlJc w:val="left"/>
      <w:pPr>
        <w:ind w:left="1440" w:hanging="360"/>
      </w:pPr>
      <w:rPr>
        <w:rFonts w:ascii="Symbol" w:hAnsi="Symbol"/>
      </w:rPr>
    </w:lvl>
    <w:lvl w:ilvl="4" w:tplc="B0C2A4BE">
      <w:start w:val="1"/>
      <w:numFmt w:val="bullet"/>
      <w:lvlText w:val=""/>
      <w:lvlJc w:val="left"/>
      <w:pPr>
        <w:ind w:left="1440" w:hanging="360"/>
      </w:pPr>
      <w:rPr>
        <w:rFonts w:ascii="Symbol" w:hAnsi="Symbol"/>
      </w:rPr>
    </w:lvl>
    <w:lvl w:ilvl="5" w:tplc="901E6306">
      <w:start w:val="1"/>
      <w:numFmt w:val="bullet"/>
      <w:lvlText w:val=""/>
      <w:lvlJc w:val="left"/>
      <w:pPr>
        <w:ind w:left="1440" w:hanging="360"/>
      </w:pPr>
      <w:rPr>
        <w:rFonts w:ascii="Symbol" w:hAnsi="Symbol"/>
      </w:rPr>
    </w:lvl>
    <w:lvl w:ilvl="6" w:tplc="6E7CF76C">
      <w:start w:val="1"/>
      <w:numFmt w:val="bullet"/>
      <w:lvlText w:val=""/>
      <w:lvlJc w:val="left"/>
      <w:pPr>
        <w:ind w:left="1440" w:hanging="360"/>
      </w:pPr>
      <w:rPr>
        <w:rFonts w:ascii="Symbol" w:hAnsi="Symbol"/>
      </w:rPr>
    </w:lvl>
    <w:lvl w:ilvl="7" w:tplc="800A935C">
      <w:start w:val="1"/>
      <w:numFmt w:val="bullet"/>
      <w:lvlText w:val=""/>
      <w:lvlJc w:val="left"/>
      <w:pPr>
        <w:ind w:left="1440" w:hanging="360"/>
      </w:pPr>
      <w:rPr>
        <w:rFonts w:ascii="Symbol" w:hAnsi="Symbol"/>
      </w:rPr>
    </w:lvl>
    <w:lvl w:ilvl="8" w:tplc="AE8E3362">
      <w:start w:val="1"/>
      <w:numFmt w:val="bullet"/>
      <w:lvlText w:val=""/>
      <w:lvlJc w:val="left"/>
      <w:pPr>
        <w:ind w:left="1440" w:hanging="360"/>
      </w:pPr>
      <w:rPr>
        <w:rFonts w:ascii="Symbol" w:hAnsi="Symbol"/>
      </w:rPr>
    </w:lvl>
  </w:abstractNum>
  <w:abstractNum w:abstractNumId="6" w15:restartNumberingAfterBreak="0">
    <w:nsid w:val="08097BF3"/>
    <w:multiLevelType w:val="multilevel"/>
    <w:tmpl w:val="BE660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44499B"/>
    <w:multiLevelType w:val="hybridMultilevel"/>
    <w:tmpl w:val="542EC208"/>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664312"/>
    <w:multiLevelType w:val="hybridMultilevel"/>
    <w:tmpl w:val="A4143304"/>
    <w:lvl w:ilvl="0" w:tplc="75AEF2D0">
      <w:start w:val="1"/>
      <w:numFmt w:val="bullet"/>
      <w:lvlText w:val="·"/>
      <w:lvlJc w:val="left"/>
      <w:pPr>
        <w:ind w:left="360" w:hanging="180"/>
      </w:pPr>
      <w:rPr>
        <w:rFonts w:ascii="Calibri" w:eastAsia="Calibri" w:hAnsi="Calibri" w:cs="Calibri"/>
        <w:sz w:val="22"/>
        <w:szCs w:val="22"/>
      </w:rPr>
    </w:lvl>
    <w:lvl w:ilvl="1" w:tplc="A8984F2A">
      <w:start w:val="1"/>
      <w:numFmt w:val="bullet"/>
      <w:lvlText w:val="o"/>
      <w:lvlJc w:val="left"/>
      <w:pPr>
        <w:ind w:left="720" w:hanging="180"/>
      </w:pPr>
      <w:rPr>
        <w:rFonts w:ascii="Calibri" w:eastAsia="Calibri" w:hAnsi="Calibri" w:cs="Calibri"/>
        <w:sz w:val="22"/>
        <w:szCs w:val="22"/>
      </w:rPr>
    </w:lvl>
    <w:lvl w:ilvl="2" w:tplc="7690CFFA">
      <w:numFmt w:val="decimal"/>
      <w:lvlText w:val=""/>
      <w:lvlJc w:val="left"/>
    </w:lvl>
    <w:lvl w:ilvl="3" w:tplc="6734D5CC">
      <w:numFmt w:val="decimal"/>
      <w:lvlText w:val=""/>
      <w:lvlJc w:val="left"/>
    </w:lvl>
    <w:lvl w:ilvl="4" w:tplc="B134B950">
      <w:numFmt w:val="decimal"/>
      <w:lvlText w:val=""/>
      <w:lvlJc w:val="left"/>
    </w:lvl>
    <w:lvl w:ilvl="5" w:tplc="D5607932">
      <w:numFmt w:val="decimal"/>
      <w:lvlText w:val=""/>
      <w:lvlJc w:val="left"/>
    </w:lvl>
    <w:lvl w:ilvl="6" w:tplc="045CA9AC">
      <w:numFmt w:val="decimal"/>
      <w:lvlText w:val=""/>
      <w:lvlJc w:val="left"/>
    </w:lvl>
    <w:lvl w:ilvl="7" w:tplc="BAE6C460">
      <w:numFmt w:val="decimal"/>
      <w:lvlText w:val=""/>
      <w:lvlJc w:val="left"/>
    </w:lvl>
    <w:lvl w:ilvl="8" w:tplc="54466FFA">
      <w:numFmt w:val="decimal"/>
      <w:lvlText w:val=""/>
      <w:lvlJc w:val="left"/>
    </w:lvl>
  </w:abstractNum>
  <w:abstractNum w:abstractNumId="9" w15:restartNumberingAfterBreak="0">
    <w:nsid w:val="0AB0412E"/>
    <w:multiLevelType w:val="multilevel"/>
    <w:tmpl w:val="90D6FBBA"/>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C6E0902"/>
    <w:multiLevelType w:val="hybridMultilevel"/>
    <w:tmpl w:val="8CA4D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793046"/>
    <w:multiLevelType w:val="multilevel"/>
    <w:tmpl w:val="700A9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D6E6981"/>
    <w:multiLevelType w:val="hybridMultilevel"/>
    <w:tmpl w:val="FD74E420"/>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D7D2659"/>
    <w:multiLevelType w:val="hybridMultilevel"/>
    <w:tmpl w:val="3A5078AC"/>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436358"/>
    <w:multiLevelType w:val="hybridMultilevel"/>
    <w:tmpl w:val="E71EF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52035B"/>
    <w:multiLevelType w:val="hybridMultilevel"/>
    <w:tmpl w:val="B64AC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1416AD"/>
    <w:multiLevelType w:val="hybridMultilevel"/>
    <w:tmpl w:val="3604A196"/>
    <w:lvl w:ilvl="0" w:tplc="90720F60">
      <w:start w:val="1"/>
      <w:numFmt w:val="bullet"/>
      <w:lvlText w:val=""/>
      <w:lvlJc w:val="left"/>
      <w:pPr>
        <w:ind w:left="2160" w:hanging="360"/>
      </w:pPr>
      <w:rPr>
        <w:rFonts w:ascii="Symbol" w:hAnsi="Symbol"/>
      </w:rPr>
    </w:lvl>
    <w:lvl w:ilvl="1" w:tplc="4E2A066A">
      <w:start w:val="1"/>
      <w:numFmt w:val="bullet"/>
      <w:lvlText w:val=""/>
      <w:lvlJc w:val="left"/>
      <w:pPr>
        <w:ind w:left="2160" w:hanging="360"/>
      </w:pPr>
      <w:rPr>
        <w:rFonts w:ascii="Symbol" w:hAnsi="Symbol"/>
      </w:rPr>
    </w:lvl>
    <w:lvl w:ilvl="2" w:tplc="7092009C">
      <w:start w:val="1"/>
      <w:numFmt w:val="bullet"/>
      <w:lvlText w:val=""/>
      <w:lvlJc w:val="left"/>
      <w:pPr>
        <w:ind w:left="2160" w:hanging="360"/>
      </w:pPr>
      <w:rPr>
        <w:rFonts w:ascii="Symbol" w:hAnsi="Symbol"/>
      </w:rPr>
    </w:lvl>
    <w:lvl w:ilvl="3" w:tplc="B37ADC86">
      <w:start w:val="1"/>
      <w:numFmt w:val="bullet"/>
      <w:lvlText w:val=""/>
      <w:lvlJc w:val="left"/>
      <w:pPr>
        <w:ind w:left="2160" w:hanging="360"/>
      </w:pPr>
      <w:rPr>
        <w:rFonts w:ascii="Symbol" w:hAnsi="Symbol"/>
      </w:rPr>
    </w:lvl>
    <w:lvl w:ilvl="4" w:tplc="8AE86B62">
      <w:start w:val="1"/>
      <w:numFmt w:val="bullet"/>
      <w:lvlText w:val=""/>
      <w:lvlJc w:val="left"/>
      <w:pPr>
        <w:ind w:left="2160" w:hanging="360"/>
      </w:pPr>
      <w:rPr>
        <w:rFonts w:ascii="Symbol" w:hAnsi="Symbol"/>
      </w:rPr>
    </w:lvl>
    <w:lvl w:ilvl="5" w:tplc="037C29F2">
      <w:start w:val="1"/>
      <w:numFmt w:val="bullet"/>
      <w:lvlText w:val=""/>
      <w:lvlJc w:val="left"/>
      <w:pPr>
        <w:ind w:left="2160" w:hanging="360"/>
      </w:pPr>
      <w:rPr>
        <w:rFonts w:ascii="Symbol" w:hAnsi="Symbol"/>
      </w:rPr>
    </w:lvl>
    <w:lvl w:ilvl="6" w:tplc="873EB6A8">
      <w:start w:val="1"/>
      <w:numFmt w:val="bullet"/>
      <w:lvlText w:val=""/>
      <w:lvlJc w:val="left"/>
      <w:pPr>
        <w:ind w:left="2160" w:hanging="360"/>
      </w:pPr>
      <w:rPr>
        <w:rFonts w:ascii="Symbol" w:hAnsi="Symbol"/>
      </w:rPr>
    </w:lvl>
    <w:lvl w:ilvl="7" w:tplc="CAC20E42">
      <w:start w:val="1"/>
      <w:numFmt w:val="bullet"/>
      <w:lvlText w:val=""/>
      <w:lvlJc w:val="left"/>
      <w:pPr>
        <w:ind w:left="2160" w:hanging="360"/>
      </w:pPr>
      <w:rPr>
        <w:rFonts w:ascii="Symbol" w:hAnsi="Symbol"/>
      </w:rPr>
    </w:lvl>
    <w:lvl w:ilvl="8" w:tplc="7090CBF4">
      <w:start w:val="1"/>
      <w:numFmt w:val="bullet"/>
      <w:lvlText w:val=""/>
      <w:lvlJc w:val="left"/>
      <w:pPr>
        <w:ind w:left="2160" w:hanging="360"/>
      </w:pPr>
      <w:rPr>
        <w:rFonts w:ascii="Symbol" w:hAnsi="Symbol"/>
      </w:rPr>
    </w:lvl>
  </w:abstractNum>
  <w:abstractNum w:abstractNumId="17" w15:restartNumberingAfterBreak="0">
    <w:nsid w:val="12F31EC0"/>
    <w:multiLevelType w:val="hybridMultilevel"/>
    <w:tmpl w:val="AFE679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3E025A4"/>
    <w:multiLevelType w:val="hybridMultilevel"/>
    <w:tmpl w:val="6450B446"/>
    <w:lvl w:ilvl="0" w:tplc="86F02E80">
      <w:start w:val="1"/>
      <w:numFmt w:val="decimal"/>
      <w:lvlText w:val="%1."/>
      <w:lvlJc w:val="left"/>
      <w:pPr>
        <w:ind w:left="720" w:hanging="360"/>
      </w:pPr>
    </w:lvl>
    <w:lvl w:ilvl="1" w:tplc="6AFA7068">
      <w:start w:val="1"/>
      <w:numFmt w:val="decimal"/>
      <w:lvlText w:val="%2."/>
      <w:lvlJc w:val="left"/>
      <w:pPr>
        <w:ind w:left="720" w:hanging="360"/>
      </w:pPr>
    </w:lvl>
    <w:lvl w:ilvl="2" w:tplc="BD143C9C">
      <w:start w:val="1"/>
      <w:numFmt w:val="decimal"/>
      <w:lvlText w:val="%3."/>
      <w:lvlJc w:val="left"/>
      <w:pPr>
        <w:ind w:left="720" w:hanging="360"/>
      </w:pPr>
    </w:lvl>
    <w:lvl w:ilvl="3" w:tplc="8DE053D8">
      <w:start w:val="1"/>
      <w:numFmt w:val="decimal"/>
      <w:lvlText w:val="%4."/>
      <w:lvlJc w:val="left"/>
      <w:pPr>
        <w:ind w:left="720" w:hanging="360"/>
      </w:pPr>
    </w:lvl>
    <w:lvl w:ilvl="4" w:tplc="EF10CD88">
      <w:start w:val="1"/>
      <w:numFmt w:val="decimal"/>
      <w:lvlText w:val="%5."/>
      <w:lvlJc w:val="left"/>
      <w:pPr>
        <w:ind w:left="720" w:hanging="360"/>
      </w:pPr>
    </w:lvl>
    <w:lvl w:ilvl="5" w:tplc="7FAEC900">
      <w:start w:val="1"/>
      <w:numFmt w:val="decimal"/>
      <w:lvlText w:val="%6."/>
      <w:lvlJc w:val="left"/>
      <w:pPr>
        <w:ind w:left="720" w:hanging="360"/>
      </w:pPr>
    </w:lvl>
    <w:lvl w:ilvl="6" w:tplc="90987BD2">
      <w:start w:val="1"/>
      <w:numFmt w:val="decimal"/>
      <w:lvlText w:val="%7."/>
      <w:lvlJc w:val="left"/>
      <w:pPr>
        <w:ind w:left="720" w:hanging="360"/>
      </w:pPr>
    </w:lvl>
    <w:lvl w:ilvl="7" w:tplc="BD4805D2">
      <w:start w:val="1"/>
      <w:numFmt w:val="decimal"/>
      <w:lvlText w:val="%8."/>
      <w:lvlJc w:val="left"/>
      <w:pPr>
        <w:ind w:left="720" w:hanging="360"/>
      </w:pPr>
    </w:lvl>
    <w:lvl w:ilvl="8" w:tplc="B254E9A4">
      <w:start w:val="1"/>
      <w:numFmt w:val="decimal"/>
      <w:lvlText w:val="%9."/>
      <w:lvlJc w:val="left"/>
      <w:pPr>
        <w:ind w:left="720" w:hanging="360"/>
      </w:pPr>
    </w:lvl>
  </w:abstractNum>
  <w:abstractNum w:abstractNumId="19" w15:restartNumberingAfterBreak="0">
    <w:nsid w:val="14193BD2"/>
    <w:multiLevelType w:val="hybridMultilevel"/>
    <w:tmpl w:val="39E0B43A"/>
    <w:lvl w:ilvl="0" w:tplc="9C3AC9C8">
      <w:start w:val="1"/>
      <w:numFmt w:val="bullet"/>
      <w:lvlText w:val="•"/>
      <w:lvlJc w:val="left"/>
      <w:pPr>
        <w:tabs>
          <w:tab w:val="num" w:pos="720"/>
        </w:tabs>
        <w:ind w:left="720" w:hanging="360"/>
      </w:pPr>
      <w:rPr>
        <w:rFonts w:ascii="Arial" w:hAnsi="Arial" w:hint="default"/>
      </w:rPr>
    </w:lvl>
    <w:lvl w:ilvl="1" w:tplc="7B54AF0E" w:tentative="1">
      <w:start w:val="1"/>
      <w:numFmt w:val="bullet"/>
      <w:lvlText w:val="•"/>
      <w:lvlJc w:val="left"/>
      <w:pPr>
        <w:tabs>
          <w:tab w:val="num" w:pos="1440"/>
        </w:tabs>
        <w:ind w:left="1440" w:hanging="360"/>
      </w:pPr>
      <w:rPr>
        <w:rFonts w:ascii="Arial" w:hAnsi="Arial" w:hint="default"/>
      </w:rPr>
    </w:lvl>
    <w:lvl w:ilvl="2" w:tplc="378A2190" w:tentative="1">
      <w:start w:val="1"/>
      <w:numFmt w:val="bullet"/>
      <w:lvlText w:val="•"/>
      <w:lvlJc w:val="left"/>
      <w:pPr>
        <w:tabs>
          <w:tab w:val="num" w:pos="2160"/>
        </w:tabs>
        <w:ind w:left="2160" w:hanging="360"/>
      </w:pPr>
      <w:rPr>
        <w:rFonts w:ascii="Arial" w:hAnsi="Arial" w:hint="default"/>
      </w:rPr>
    </w:lvl>
    <w:lvl w:ilvl="3" w:tplc="0A4E9E22" w:tentative="1">
      <w:start w:val="1"/>
      <w:numFmt w:val="bullet"/>
      <w:lvlText w:val="•"/>
      <w:lvlJc w:val="left"/>
      <w:pPr>
        <w:tabs>
          <w:tab w:val="num" w:pos="2880"/>
        </w:tabs>
        <w:ind w:left="2880" w:hanging="360"/>
      </w:pPr>
      <w:rPr>
        <w:rFonts w:ascii="Arial" w:hAnsi="Arial" w:hint="default"/>
      </w:rPr>
    </w:lvl>
    <w:lvl w:ilvl="4" w:tplc="0CE615E0" w:tentative="1">
      <w:start w:val="1"/>
      <w:numFmt w:val="bullet"/>
      <w:lvlText w:val="•"/>
      <w:lvlJc w:val="left"/>
      <w:pPr>
        <w:tabs>
          <w:tab w:val="num" w:pos="3600"/>
        </w:tabs>
        <w:ind w:left="3600" w:hanging="360"/>
      </w:pPr>
      <w:rPr>
        <w:rFonts w:ascii="Arial" w:hAnsi="Arial" w:hint="default"/>
      </w:rPr>
    </w:lvl>
    <w:lvl w:ilvl="5" w:tplc="6FC2047A" w:tentative="1">
      <w:start w:val="1"/>
      <w:numFmt w:val="bullet"/>
      <w:lvlText w:val="•"/>
      <w:lvlJc w:val="left"/>
      <w:pPr>
        <w:tabs>
          <w:tab w:val="num" w:pos="4320"/>
        </w:tabs>
        <w:ind w:left="4320" w:hanging="360"/>
      </w:pPr>
      <w:rPr>
        <w:rFonts w:ascii="Arial" w:hAnsi="Arial" w:hint="default"/>
      </w:rPr>
    </w:lvl>
    <w:lvl w:ilvl="6" w:tplc="FC0ABB1E" w:tentative="1">
      <w:start w:val="1"/>
      <w:numFmt w:val="bullet"/>
      <w:lvlText w:val="•"/>
      <w:lvlJc w:val="left"/>
      <w:pPr>
        <w:tabs>
          <w:tab w:val="num" w:pos="5040"/>
        </w:tabs>
        <w:ind w:left="5040" w:hanging="360"/>
      </w:pPr>
      <w:rPr>
        <w:rFonts w:ascii="Arial" w:hAnsi="Arial" w:hint="default"/>
      </w:rPr>
    </w:lvl>
    <w:lvl w:ilvl="7" w:tplc="11DC7360" w:tentative="1">
      <w:start w:val="1"/>
      <w:numFmt w:val="bullet"/>
      <w:lvlText w:val="•"/>
      <w:lvlJc w:val="left"/>
      <w:pPr>
        <w:tabs>
          <w:tab w:val="num" w:pos="5760"/>
        </w:tabs>
        <w:ind w:left="5760" w:hanging="360"/>
      </w:pPr>
      <w:rPr>
        <w:rFonts w:ascii="Arial" w:hAnsi="Arial" w:hint="default"/>
      </w:rPr>
    </w:lvl>
    <w:lvl w:ilvl="8" w:tplc="8F74C43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14704941"/>
    <w:multiLevelType w:val="hybridMultilevel"/>
    <w:tmpl w:val="41A837A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5047C43"/>
    <w:multiLevelType w:val="hybridMultilevel"/>
    <w:tmpl w:val="E7508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6E62F62"/>
    <w:multiLevelType w:val="hybridMultilevel"/>
    <w:tmpl w:val="1346DEF0"/>
    <w:lvl w:ilvl="0" w:tplc="627EE7AE">
      <w:start w:val="1"/>
      <w:numFmt w:val="bullet"/>
      <w:lvlText w:val="•"/>
      <w:lvlJc w:val="left"/>
      <w:pPr>
        <w:tabs>
          <w:tab w:val="num" w:pos="720"/>
        </w:tabs>
        <w:ind w:left="720" w:hanging="360"/>
      </w:pPr>
      <w:rPr>
        <w:rFonts w:ascii="Arial" w:hAnsi="Arial" w:hint="default"/>
      </w:rPr>
    </w:lvl>
    <w:lvl w:ilvl="1" w:tplc="8D300E88">
      <w:numFmt w:val="bullet"/>
      <w:lvlText w:val="•"/>
      <w:lvlJc w:val="left"/>
      <w:pPr>
        <w:tabs>
          <w:tab w:val="num" w:pos="1440"/>
        </w:tabs>
        <w:ind w:left="1440" w:hanging="360"/>
      </w:pPr>
      <w:rPr>
        <w:rFonts w:ascii="Arial" w:hAnsi="Arial" w:hint="default"/>
      </w:rPr>
    </w:lvl>
    <w:lvl w:ilvl="2" w:tplc="DAD26AE4" w:tentative="1">
      <w:start w:val="1"/>
      <w:numFmt w:val="bullet"/>
      <w:lvlText w:val="•"/>
      <w:lvlJc w:val="left"/>
      <w:pPr>
        <w:tabs>
          <w:tab w:val="num" w:pos="2160"/>
        </w:tabs>
        <w:ind w:left="2160" w:hanging="360"/>
      </w:pPr>
      <w:rPr>
        <w:rFonts w:ascii="Arial" w:hAnsi="Arial" w:hint="default"/>
      </w:rPr>
    </w:lvl>
    <w:lvl w:ilvl="3" w:tplc="2416DF28" w:tentative="1">
      <w:start w:val="1"/>
      <w:numFmt w:val="bullet"/>
      <w:lvlText w:val="•"/>
      <w:lvlJc w:val="left"/>
      <w:pPr>
        <w:tabs>
          <w:tab w:val="num" w:pos="2880"/>
        </w:tabs>
        <w:ind w:left="2880" w:hanging="360"/>
      </w:pPr>
      <w:rPr>
        <w:rFonts w:ascii="Arial" w:hAnsi="Arial" w:hint="default"/>
      </w:rPr>
    </w:lvl>
    <w:lvl w:ilvl="4" w:tplc="7E144006" w:tentative="1">
      <w:start w:val="1"/>
      <w:numFmt w:val="bullet"/>
      <w:lvlText w:val="•"/>
      <w:lvlJc w:val="left"/>
      <w:pPr>
        <w:tabs>
          <w:tab w:val="num" w:pos="3600"/>
        </w:tabs>
        <w:ind w:left="3600" w:hanging="360"/>
      </w:pPr>
      <w:rPr>
        <w:rFonts w:ascii="Arial" w:hAnsi="Arial" w:hint="default"/>
      </w:rPr>
    </w:lvl>
    <w:lvl w:ilvl="5" w:tplc="70E8FEEA" w:tentative="1">
      <w:start w:val="1"/>
      <w:numFmt w:val="bullet"/>
      <w:lvlText w:val="•"/>
      <w:lvlJc w:val="left"/>
      <w:pPr>
        <w:tabs>
          <w:tab w:val="num" w:pos="4320"/>
        </w:tabs>
        <w:ind w:left="4320" w:hanging="360"/>
      </w:pPr>
      <w:rPr>
        <w:rFonts w:ascii="Arial" w:hAnsi="Arial" w:hint="default"/>
      </w:rPr>
    </w:lvl>
    <w:lvl w:ilvl="6" w:tplc="103042A6" w:tentative="1">
      <w:start w:val="1"/>
      <w:numFmt w:val="bullet"/>
      <w:lvlText w:val="•"/>
      <w:lvlJc w:val="left"/>
      <w:pPr>
        <w:tabs>
          <w:tab w:val="num" w:pos="5040"/>
        </w:tabs>
        <w:ind w:left="5040" w:hanging="360"/>
      </w:pPr>
      <w:rPr>
        <w:rFonts w:ascii="Arial" w:hAnsi="Arial" w:hint="default"/>
      </w:rPr>
    </w:lvl>
    <w:lvl w:ilvl="7" w:tplc="5C3CEFCE" w:tentative="1">
      <w:start w:val="1"/>
      <w:numFmt w:val="bullet"/>
      <w:lvlText w:val="•"/>
      <w:lvlJc w:val="left"/>
      <w:pPr>
        <w:tabs>
          <w:tab w:val="num" w:pos="5760"/>
        </w:tabs>
        <w:ind w:left="5760" w:hanging="360"/>
      </w:pPr>
      <w:rPr>
        <w:rFonts w:ascii="Arial" w:hAnsi="Arial" w:hint="default"/>
      </w:rPr>
    </w:lvl>
    <w:lvl w:ilvl="8" w:tplc="559E0AB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1958038B"/>
    <w:multiLevelType w:val="hybridMultilevel"/>
    <w:tmpl w:val="11B8171E"/>
    <w:lvl w:ilvl="0" w:tplc="291EB498">
      <w:start w:val="1"/>
      <w:numFmt w:val="bullet"/>
      <w:lvlText w:val=""/>
      <w:lvlJc w:val="left"/>
      <w:pPr>
        <w:ind w:left="720" w:hanging="360"/>
      </w:pPr>
      <w:rPr>
        <w:rFonts w:ascii="Symbol" w:hAnsi="Symbol"/>
      </w:rPr>
    </w:lvl>
    <w:lvl w:ilvl="1" w:tplc="A9664A0E">
      <w:start w:val="1"/>
      <w:numFmt w:val="bullet"/>
      <w:lvlText w:val=""/>
      <w:lvlJc w:val="left"/>
      <w:pPr>
        <w:ind w:left="720" w:hanging="360"/>
      </w:pPr>
      <w:rPr>
        <w:rFonts w:ascii="Symbol" w:hAnsi="Symbol"/>
      </w:rPr>
    </w:lvl>
    <w:lvl w:ilvl="2" w:tplc="80CC97FE">
      <w:start w:val="1"/>
      <w:numFmt w:val="bullet"/>
      <w:lvlText w:val=""/>
      <w:lvlJc w:val="left"/>
      <w:pPr>
        <w:ind w:left="720" w:hanging="360"/>
      </w:pPr>
      <w:rPr>
        <w:rFonts w:ascii="Symbol" w:hAnsi="Symbol"/>
      </w:rPr>
    </w:lvl>
    <w:lvl w:ilvl="3" w:tplc="8EC0FE42">
      <w:start w:val="1"/>
      <w:numFmt w:val="bullet"/>
      <w:lvlText w:val=""/>
      <w:lvlJc w:val="left"/>
      <w:pPr>
        <w:ind w:left="720" w:hanging="360"/>
      </w:pPr>
      <w:rPr>
        <w:rFonts w:ascii="Symbol" w:hAnsi="Symbol"/>
      </w:rPr>
    </w:lvl>
    <w:lvl w:ilvl="4" w:tplc="D25C96B2">
      <w:start w:val="1"/>
      <w:numFmt w:val="bullet"/>
      <w:lvlText w:val=""/>
      <w:lvlJc w:val="left"/>
      <w:pPr>
        <w:ind w:left="720" w:hanging="360"/>
      </w:pPr>
      <w:rPr>
        <w:rFonts w:ascii="Symbol" w:hAnsi="Symbol"/>
      </w:rPr>
    </w:lvl>
    <w:lvl w:ilvl="5" w:tplc="AED47BEA">
      <w:start w:val="1"/>
      <w:numFmt w:val="bullet"/>
      <w:lvlText w:val=""/>
      <w:lvlJc w:val="left"/>
      <w:pPr>
        <w:ind w:left="720" w:hanging="360"/>
      </w:pPr>
      <w:rPr>
        <w:rFonts w:ascii="Symbol" w:hAnsi="Symbol"/>
      </w:rPr>
    </w:lvl>
    <w:lvl w:ilvl="6" w:tplc="3BEC31E0">
      <w:start w:val="1"/>
      <w:numFmt w:val="bullet"/>
      <w:lvlText w:val=""/>
      <w:lvlJc w:val="left"/>
      <w:pPr>
        <w:ind w:left="720" w:hanging="360"/>
      </w:pPr>
      <w:rPr>
        <w:rFonts w:ascii="Symbol" w:hAnsi="Symbol"/>
      </w:rPr>
    </w:lvl>
    <w:lvl w:ilvl="7" w:tplc="DC3CA882">
      <w:start w:val="1"/>
      <w:numFmt w:val="bullet"/>
      <w:lvlText w:val=""/>
      <w:lvlJc w:val="left"/>
      <w:pPr>
        <w:ind w:left="720" w:hanging="360"/>
      </w:pPr>
      <w:rPr>
        <w:rFonts w:ascii="Symbol" w:hAnsi="Symbol"/>
      </w:rPr>
    </w:lvl>
    <w:lvl w:ilvl="8" w:tplc="FE324B92">
      <w:start w:val="1"/>
      <w:numFmt w:val="bullet"/>
      <w:lvlText w:val=""/>
      <w:lvlJc w:val="left"/>
      <w:pPr>
        <w:ind w:left="720" w:hanging="360"/>
      </w:pPr>
      <w:rPr>
        <w:rFonts w:ascii="Symbol" w:hAnsi="Symbol"/>
      </w:rPr>
    </w:lvl>
  </w:abstractNum>
  <w:abstractNum w:abstractNumId="24" w15:restartNumberingAfterBreak="0">
    <w:nsid w:val="19DC2FF4"/>
    <w:multiLevelType w:val="hybridMultilevel"/>
    <w:tmpl w:val="C9EE5D0A"/>
    <w:lvl w:ilvl="0" w:tplc="DE3EA52A">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C1F7E8B"/>
    <w:multiLevelType w:val="hybridMultilevel"/>
    <w:tmpl w:val="D1204C80"/>
    <w:lvl w:ilvl="0" w:tplc="60DC608A">
      <w:start w:val="1"/>
      <w:numFmt w:val="decimal"/>
      <w:lvlText w:val="%1."/>
      <w:lvlJc w:val="left"/>
      <w:pPr>
        <w:ind w:left="720" w:hanging="360"/>
      </w:pPr>
    </w:lvl>
    <w:lvl w:ilvl="1" w:tplc="1BF2569C">
      <w:start w:val="1"/>
      <w:numFmt w:val="decimal"/>
      <w:lvlText w:val="%2."/>
      <w:lvlJc w:val="left"/>
      <w:pPr>
        <w:ind w:left="720" w:hanging="360"/>
      </w:pPr>
    </w:lvl>
    <w:lvl w:ilvl="2" w:tplc="092402EE">
      <w:start w:val="1"/>
      <w:numFmt w:val="decimal"/>
      <w:lvlText w:val="%3."/>
      <w:lvlJc w:val="left"/>
      <w:pPr>
        <w:ind w:left="720" w:hanging="360"/>
      </w:pPr>
    </w:lvl>
    <w:lvl w:ilvl="3" w:tplc="B624F3E2">
      <w:start w:val="1"/>
      <w:numFmt w:val="decimal"/>
      <w:lvlText w:val="%4."/>
      <w:lvlJc w:val="left"/>
      <w:pPr>
        <w:ind w:left="720" w:hanging="360"/>
      </w:pPr>
    </w:lvl>
    <w:lvl w:ilvl="4" w:tplc="B3B6E600">
      <w:start w:val="1"/>
      <w:numFmt w:val="decimal"/>
      <w:lvlText w:val="%5."/>
      <w:lvlJc w:val="left"/>
      <w:pPr>
        <w:ind w:left="720" w:hanging="360"/>
      </w:pPr>
    </w:lvl>
    <w:lvl w:ilvl="5" w:tplc="5142BCFA">
      <w:start w:val="1"/>
      <w:numFmt w:val="decimal"/>
      <w:lvlText w:val="%6."/>
      <w:lvlJc w:val="left"/>
      <w:pPr>
        <w:ind w:left="720" w:hanging="360"/>
      </w:pPr>
    </w:lvl>
    <w:lvl w:ilvl="6" w:tplc="6B60BCBE">
      <w:start w:val="1"/>
      <w:numFmt w:val="decimal"/>
      <w:lvlText w:val="%7."/>
      <w:lvlJc w:val="left"/>
      <w:pPr>
        <w:ind w:left="720" w:hanging="360"/>
      </w:pPr>
    </w:lvl>
    <w:lvl w:ilvl="7" w:tplc="636A73CC">
      <w:start w:val="1"/>
      <w:numFmt w:val="decimal"/>
      <w:lvlText w:val="%8."/>
      <w:lvlJc w:val="left"/>
      <w:pPr>
        <w:ind w:left="720" w:hanging="360"/>
      </w:pPr>
    </w:lvl>
    <w:lvl w:ilvl="8" w:tplc="D5FC9C60">
      <w:start w:val="1"/>
      <w:numFmt w:val="decimal"/>
      <w:lvlText w:val="%9."/>
      <w:lvlJc w:val="left"/>
      <w:pPr>
        <w:ind w:left="720" w:hanging="360"/>
      </w:pPr>
    </w:lvl>
  </w:abstractNum>
  <w:abstractNum w:abstractNumId="26" w15:restartNumberingAfterBreak="0">
    <w:nsid w:val="1C20302B"/>
    <w:multiLevelType w:val="hybridMultilevel"/>
    <w:tmpl w:val="567AE35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CF51809"/>
    <w:multiLevelType w:val="hybridMultilevel"/>
    <w:tmpl w:val="9C783366"/>
    <w:lvl w:ilvl="0" w:tplc="2084AF68">
      <w:start w:val="1"/>
      <w:numFmt w:val="bullet"/>
      <w:lvlText w:val=""/>
      <w:lvlJc w:val="left"/>
      <w:pPr>
        <w:ind w:left="720" w:hanging="360"/>
      </w:pPr>
      <w:rPr>
        <w:rFonts w:ascii="Symbol" w:hAnsi="Symbol"/>
      </w:rPr>
    </w:lvl>
    <w:lvl w:ilvl="1" w:tplc="BC081196">
      <w:start w:val="1"/>
      <w:numFmt w:val="bullet"/>
      <w:lvlText w:val=""/>
      <w:lvlJc w:val="left"/>
      <w:pPr>
        <w:ind w:left="720" w:hanging="360"/>
      </w:pPr>
      <w:rPr>
        <w:rFonts w:ascii="Symbol" w:hAnsi="Symbol"/>
      </w:rPr>
    </w:lvl>
    <w:lvl w:ilvl="2" w:tplc="1638A572">
      <w:start w:val="1"/>
      <w:numFmt w:val="bullet"/>
      <w:lvlText w:val=""/>
      <w:lvlJc w:val="left"/>
      <w:pPr>
        <w:ind w:left="720" w:hanging="360"/>
      </w:pPr>
      <w:rPr>
        <w:rFonts w:ascii="Symbol" w:hAnsi="Symbol"/>
      </w:rPr>
    </w:lvl>
    <w:lvl w:ilvl="3" w:tplc="A0BA7CCE">
      <w:start w:val="1"/>
      <w:numFmt w:val="bullet"/>
      <w:lvlText w:val=""/>
      <w:lvlJc w:val="left"/>
      <w:pPr>
        <w:ind w:left="720" w:hanging="360"/>
      </w:pPr>
      <w:rPr>
        <w:rFonts w:ascii="Symbol" w:hAnsi="Symbol"/>
      </w:rPr>
    </w:lvl>
    <w:lvl w:ilvl="4" w:tplc="8DEC344E">
      <w:start w:val="1"/>
      <w:numFmt w:val="bullet"/>
      <w:lvlText w:val=""/>
      <w:lvlJc w:val="left"/>
      <w:pPr>
        <w:ind w:left="720" w:hanging="360"/>
      </w:pPr>
      <w:rPr>
        <w:rFonts w:ascii="Symbol" w:hAnsi="Symbol"/>
      </w:rPr>
    </w:lvl>
    <w:lvl w:ilvl="5" w:tplc="22B4BCE8">
      <w:start w:val="1"/>
      <w:numFmt w:val="bullet"/>
      <w:lvlText w:val=""/>
      <w:lvlJc w:val="left"/>
      <w:pPr>
        <w:ind w:left="720" w:hanging="360"/>
      </w:pPr>
      <w:rPr>
        <w:rFonts w:ascii="Symbol" w:hAnsi="Symbol"/>
      </w:rPr>
    </w:lvl>
    <w:lvl w:ilvl="6" w:tplc="B2A288F4">
      <w:start w:val="1"/>
      <w:numFmt w:val="bullet"/>
      <w:lvlText w:val=""/>
      <w:lvlJc w:val="left"/>
      <w:pPr>
        <w:ind w:left="720" w:hanging="360"/>
      </w:pPr>
      <w:rPr>
        <w:rFonts w:ascii="Symbol" w:hAnsi="Symbol"/>
      </w:rPr>
    </w:lvl>
    <w:lvl w:ilvl="7" w:tplc="7CC61BD8">
      <w:start w:val="1"/>
      <w:numFmt w:val="bullet"/>
      <w:lvlText w:val=""/>
      <w:lvlJc w:val="left"/>
      <w:pPr>
        <w:ind w:left="720" w:hanging="360"/>
      </w:pPr>
      <w:rPr>
        <w:rFonts w:ascii="Symbol" w:hAnsi="Symbol"/>
      </w:rPr>
    </w:lvl>
    <w:lvl w:ilvl="8" w:tplc="B744246E">
      <w:start w:val="1"/>
      <w:numFmt w:val="bullet"/>
      <w:lvlText w:val=""/>
      <w:lvlJc w:val="left"/>
      <w:pPr>
        <w:ind w:left="720" w:hanging="360"/>
      </w:pPr>
      <w:rPr>
        <w:rFonts w:ascii="Symbol" w:hAnsi="Symbol"/>
      </w:rPr>
    </w:lvl>
  </w:abstractNum>
  <w:abstractNum w:abstractNumId="28" w15:restartNumberingAfterBreak="0">
    <w:nsid w:val="1D131913"/>
    <w:multiLevelType w:val="hybridMultilevel"/>
    <w:tmpl w:val="4DC4C414"/>
    <w:lvl w:ilvl="0" w:tplc="A8D0A5DE">
      <w:start w:val="1"/>
      <w:numFmt w:val="bullet"/>
      <w:lvlText w:val=""/>
      <w:lvlJc w:val="left"/>
      <w:pPr>
        <w:ind w:left="1440" w:hanging="360"/>
      </w:pPr>
      <w:rPr>
        <w:rFonts w:ascii="Symbol" w:hAnsi="Symbol"/>
      </w:rPr>
    </w:lvl>
    <w:lvl w:ilvl="1" w:tplc="C7D84AAE">
      <w:start w:val="1"/>
      <w:numFmt w:val="bullet"/>
      <w:lvlText w:val=""/>
      <w:lvlJc w:val="left"/>
      <w:pPr>
        <w:ind w:left="1440" w:hanging="360"/>
      </w:pPr>
      <w:rPr>
        <w:rFonts w:ascii="Symbol" w:hAnsi="Symbol"/>
      </w:rPr>
    </w:lvl>
    <w:lvl w:ilvl="2" w:tplc="5EC07CC0">
      <w:start w:val="1"/>
      <w:numFmt w:val="bullet"/>
      <w:lvlText w:val=""/>
      <w:lvlJc w:val="left"/>
      <w:pPr>
        <w:ind w:left="1440" w:hanging="360"/>
      </w:pPr>
      <w:rPr>
        <w:rFonts w:ascii="Symbol" w:hAnsi="Symbol"/>
      </w:rPr>
    </w:lvl>
    <w:lvl w:ilvl="3" w:tplc="4A32E608">
      <w:start w:val="1"/>
      <w:numFmt w:val="bullet"/>
      <w:lvlText w:val=""/>
      <w:lvlJc w:val="left"/>
      <w:pPr>
        <w:ind w:left="1440" w:hanging="360"/>
      </w:pPr>
      <w:rPr>
        <w:rFonts w:ascii="Symbol" w:hAnsi="Symbol"/>
      </w:rPr>
    </w:lvl>
    <w:lvl w:ilvl="4" w:tplc="76D42204">
      <w:start w:val="1"/>
      <w:numFmt w:val="bullet"/>
      <w:lvlText w:val=""/>
      <w:lvlJc w:val="left"/>
      <w:pPr>
        <w:ind w:left="1440" w:hanging="360"/>
      </w:pPr>
      <w:rPr>
        <w:rFonts w:ascii="Symbol" w:hAnsi="Symbol"/>
      </w:rPr>
    </w:lvl>
    <w:lvl w:ilvl="5" w:tplc="60507C2A">
      <w:start w:val="1"/>
      <w:numFmt w:val="bullet"/>
      <w:lvlText w:val=""/>
      <w:lvlJc w:val="left"/>
      <w:pPr>
        <w:ind w:left="1440" w:hanging="360"/>
      </w:pPr>
      <w:rPr>
        <w:rFonts w:ascii="Symbol" w:hAnsi="Symbol"/>
      </w:rPr>
    </w:lvl>
    <w:lvl w:ilvl="6" w:tplc="BD46B55C">
      <w:start w:val="1"/>
      <w:numFmt w:val="bullet"/>
      <w:lvlText w:val=""/>
      <w:lvlJc w:val="left"/>
      <w:pPr>
        <w:ind w:left="1440" w:hanging="360"/>
      </w:pPr>
      <w:rPr>
        <w:rFonts w:ascii="Symbol" w:hAnsi="Symbol"/>
      </w:rPr>
    </w:lvl>
    <w:lvl w:ilvl="7" w:tplc="F702B64C">
      <w:start w:val="1"/>
      <w:numFmt w:val="bullet"/>
      <w:lvlText w:val=""/>
      <w:lvlJc w:val="left"/>
      <w:pPr>
        <w:ind w:left="1440" w:hanging="360"/>
      </w:pPr>
      <w:rPr>
        <w:rFonts w:ascii="Symbol" w:hAnsi="Symbol"/>
      </w:rPr>
    </w:lvl>
    <w:lvl w:ilvl="8" w:tplc="12BCFD18">
      <w:start w:val="1"/>
      <w:numFmt w:val="bullet"/>
      <w:lvlText w:val=""/>
      <w:lvlJc w:val="left"/>
      <w:pPr>
        <w:ind w:left="1440" w:hanging="360"/>
      </w:pPr>
      <w:rPr>
        <w:rFonts w:ascii="Symbol" w:hAnsi="Symbol"/>
      </w:rPr>
    </w:lvl>
  </w:abstractNum>
  <w:abstractNum w:abstractNumId="29" w15:restartNumberingAfterBreak="0">
    <w:nsid w:val="1DB017E5"/>
    <w:multiLevelType w:val="hybridMultilevel"/>
    <w:tmpl w:val="D886116C"/>
    <w:lvl w:ilvl="0" w:tplc="DC100190">
      <w:start w:val="1"/>
      <w:numFmt w:val="decimal"/>
      <w:lvlText w:val="%1)"/>
      <w:lvlJc w:val="left"/>
      <w:pPr>
        <w:ind w:left="720" w:hanging="360"/>
      </w:pPr>
    </w:lvl>
    <w:lvl w:ilvl="1" w:tplc="59EE65D0">
      <w:start w:val="1"/>
      <w:numFmt w:val="decimal"/>
      <w:lvlText w:val="%2)"/>
      <w:lvlJc w:val="left"/>
      <w:pPr>
        <w:ind w:left="720" w:hanging="360"/>
      </w:pPr>
    </w:lvl>
    <w:lvl w:ilvl="2" w:tplc="4B904364">
      <w:start w:val="1"/>
      <w:numFmt w:val="decimal"/>
      <w:lvlText w:val="%3)"/>
      <w:lvlJc w:val="left"/>
      <w:pPr>
        <w:ind w:left="720" w:hanging="360"/>
      </w:pPr>
    </w:lvl>
    <w:lvl w:ilvl="3" w:tplc="ABBCDAF2">
      <w:start w:val="1"/>
      <w:numFmt w:val="decimal"/>
      <w:lvlText w:val="%4)"/>
      <w:lvlJc w:val="left"/>
      <w:pPr>
        <w:ind w:left="720" w:hanging="360"/>
      </w:pPr>
    </w:lvl>
    <w:lvl w:ilvl="4" w:tplc="241CB510">
      <w:start w:val="1"/>
      <w:numFmt w:val="decimal"/>
      <w:lvlText w:val="%5)"/>
      <w:lvlJc w:val="left"/>
      <w:pPr>
        <w:ind w:left="720" w:hanging="360"/>
      </w:pPr>
    </w:lvl>
    <w:lvl w:ilvl="5" w:tplc="A6A0D9E0">
      <w:start w:val="1"/>
      <w:numFmt w:val="decimal"/>
      <w:lvlText w:val="%6)"/>
      <w:lvlJc w:val="left"/>
      <w:pPr>
        <w:ind w:left="720" w:hanging="360"/>
      </w:pPr>
    </w:lvl>
    <w:lvl w:ilvl="6" w:tplc="E24E7E52">
      <w:start w:val="1"/>
      <w:numFmt w:val="decimal"/>
      <w:lvlText w:val="%7)"/>
      <w:lvlJc w:val="left"/>
      <w:pPr>
        <w:ind w:left="720" w:hanging="360"/>
      </w:pPr>
    </w:lvl>
    <w:lvl w:ilvl="7" w:tplc="7C58DF6E">
      <w:start w:val="1"/>
      <w:numFmt w:val="decimal"/>
      <w:lvlText w:val="%8)"/>
      <w:lvlJc w:val="left"/>
      <w:pPr>
        <w:ind w:left="720" w:hanging="360"/>
      </w:pPr>
    </w:lvl>
    <w:lvl w:ilvl="8" w:tplc="257A272A">
      <w:start w:val="1"/>
      <w:numFmt w:val="decimal"/>
      <w:lvlText w:val="%9)"/>
      <w:lvlJc w:val="left"/>
      <w:pPr>
        <w:ind w:left="720" w:hanging="360"/>
      </w:pPr>
    </w:lvl>
  </w:abstractNum>
  <w:abstractNum w:abstractNumId="30" w15:restartNumberingAfterBreak="0">
    <w:nsid w:val="1EA901AE"/>
    <w:multiLevelType w:val="hybridMultilevel"/>
    <w:tmpl w:val="3244D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0112A6"/>
    <w:multiLevelType w:val="hybridMultilevel"/>
    <w:tmpl w:val="49A220DA"/>
    <w:lvl w:ilvl="0" w:tplc="5DF87DBE">
      <w:start w:val="3"/>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FC4698A"/>
    <w:multiLevelType w:val="hybridMultilevel"/>
    <w:tmpl w:val="1E203656"/>
    <w:styleLink w:val="ImportedStyle18"/>
    <w:lvl w:ilvl="0" w:tplc="CBD08EF0">
      <w:start w:val="1"/>
      <w:numFmt w:val="decimal"/>
      <w:lvlText w:val="%1)"/>
      <w:lvlJc w:val="left"/>
      <w:pPr>
        <w:ind w:left="720" w:hanging="360"/>
      </w:pPr>
    </w:lvl>
    <w:lvl w:ilvl="1" w:tplc="084A65D4">
      <w:start w:val="1"/>
      <w:numFmt w:val="decimal"/>
      <w:lvlText w:val="%2)"/>
      <w:lvlJc w:val="left"/>
      <w:pPr>
        <w:ind w:left="720" w:hanging="360"/>
      </w:pPr>
    </w:lvl>
    <w:lvl w:ilvl="2" w:tplc="04383198">
      <w:start w:val="1"/>
      <w:numFmt w:val="decimal"/>
      <w:lvlText w:val="%3)"/>
      <w:lvlJc w:val="left"/>
      <w:pPr>
        <w:ind w:left="720" w:hanging="360"/>
      </w:pPr>
    </w:lvl>
    <w:lvl w:ilvl="3" w:tplc="22628320">
      <w:start w:val="1"/>
      <w:numFmt w:val="decimal"/>
      <w:lvlText w:val="%4)"/>
      <w:lvlJc w:val="left"/>
      <w:pPr>
        <w:ind w:left="720" w:hanging="360"/>
      </w:pPr>
    </w:lvl>
    <w:lvl w:ilvl="4" w:tplc="DD2212EA">
      <w:start w:val="1"/>
      <w:numFmt w:val="decimal"/>
      <w:lvlText w:val="%5)"/>
      <w:lvlJc w:val="left"/>
      <w:pPr>
        <w:ind w:left="720" w:hanging="360"/>
      </w:pPr>
    </w:lvl>
    <w:lvl w:ilvl="5" w:tplc="1F66EE20">
      <w:start w:val="1"/>
      <w:numFmt w:val="decimal"/>
      <w:lvlText w:val="%6)"/>
      <w:lvlJc w:val="left"/>
      <w:pPr>
        <w:ind w:left="720" w:hanging="360"/>
      </w:pPr>
    </w:lvl>
    <w:lvl w:ilvl="6" w:tplc="0B60BF76">
      <w:start w:val="1"/>
      <w:numFmt w:val="decimal"/>
      <w:lvlText w:val="%7)"/>
      <w:lvlJc w:val="left"/>
      <w:pPr>
        <w:ind w:left="720" w:hanging="360"/>
      </w:pPr>
    </w:lvl>
    <w:lvl w:ilvl="7" w:tplc="B28E63E4">
      <w:start w:val="1"/>
      <w:numFmt w:val="decimal"/>
      <w:lvlText w:val="%8)"/>
      <w:lvlJc w:val="left"/>
      <w:pPr>
        <w:ind w:left="720" w:hanging="360"/>
      </w:pPr>
    </w:lvl>
    <w:lvl w:ilvl="8" w:tplc="9B64D3EC">
      <w:start w:val="1"/>
      <w:numFmt w:val="decimal"/>
      <w:lvlText w:val="%9)"/>
      <w:lvlJc w:val="left"/>
      <w:pPr>
        <w:ind w:left="720" w:hanging="360"/>
      </w:pPr>
    </w:lvl>
  </w:abstractNum>
  <w:abstractNum w:abstractNumId="33" w15:restartNumberingAfterBreak="0">
    <w:nsid w:val="2096571F"/>
    <w:multiLevelType w:val="hybridMultilevel"/>
    <w:tmpl w:val="F11EA324"/>
    <w:lvl w:ilvl="0" w:tplc="04188332">
      <w:start w:val="1"/>
      <w:numFmt w:val="bullet"/>
      <w:lvlText w:val=""/>
      <w:lvlJc w:val="left"/>
      <w:pPr>
        <w:ind w:left="720" w:hanging="360"/>
      </w:pPr>
      <w:rPr>
        <w:rFonts w:ascii="Symbol" w:hAnsi="Symbol"/>
      </w:rPr>
    </w:lvl>
    <w:lvl w:ilvl="1" w:tplc="AD80A35E">
      <w:start w:val="1"/>
      <w:numFmt w:val="bullet"/>
      <w:lvlText w:val=""/>
      <w:lvlJc w:val="left"/>
      <w:pPr>
        <w:ind w:left="720" w:hanging="360"/>
      </w:pPr>
      <w:rPr>
        <w:rFonts w:ascii="Symbol" w:hAnsi="Symbol"/>
      </w:rPr>
    </w:lvl>
    <w:lvl w:ilvl="2" w:tplc="CFD4A6F4">
      <w:start w:val="1"/>
      <w:numFmt w:val="bullet"/>
      <w:lvlText w:val=""/>
      <w:lvlJc w:val="left"/>
      <w:pPr>
        <w:ind w:left="720" w:hanging="360"/>
      </w:pPr>
      <w:rPr>
        <w:rFonts w:ascii="Symbol" w:hAnsi="Symbol"/>
      </w:rPr>
    </w:lvl>
    <w:lvl w:ilvl="3" w:tplc="53263474">
      <w:start w:val="1"/>
      <w:numFmt w:val="bullet"/>
      <w:lvlText w:val=""/>
      <w:lvlJc w:val="left"/>
      <w:pPr>
        <w:ind w:left="720" w:hanging="360"/>
      </w:pPr>
      <w:rPr>
        <w:rFonts w:ascii="Symbol" w:hAnsi="Symbol"/>
      </w:rPr>
    </w:lvl>
    <w:lvl w:ilvl="4" w:tplc="9A5C2F08">
      <w:start w:val="1"/>
      <w:numFmt w:val="bullet"/>
      <w:lvlText w:val=""/>
      <w:lvlJc w:val="left"/>
      <w:pPr>
        <w:ind w:left="720" w:hanging="360"/>
      </w:pPr>
      <w:rPr>
        <w:rFonts w:ascii="Symbol" w:hAnsi="Symbol"/>
      </w:rPr>
    </w:lvl>
    <w:lvl w:ilvl="5" w:tplc="D3A05452">
      <w:start w:val="1"/>
      <w:numFmt w:val="bullet"/>
      <w:lvlText w:val=""/>
      <w:lvlJc w:val="left"/>
      <w:pPr>
        <w:ind w:left="720" w:hanging="360"/>
      </w:pPr>
      <w:rPr>
        <w:rFonts w:ascii="Symbol" w:hAnsi="Symbol"/>
      </w:rPr>
    </w:lvl>
    <w:lvl w:ilvl="6" w:tplc="5B10D268">
      <w:start w:val="1"/>
      <w:numFmt w:val="bullet"/>
      <w:lvlText w:val=""/>
      <w:lvlJc w:val="left"/>
      <w:pPr>
        <w:ind w:left="720" w:hanging="360"/>
      </w:pPr>
      <w:rPr>
        <w:rFonts w:ascii="Symbol" w:hAnsi="Symbol"/>
      </w:rPr>
    </w:lvl>
    <w:lvl w:ilvl="7" w:tplc="7174EA04">
      <w:start w:val="1"/>
      <w:numFmt w:val="bullet"/>
      <w:lvlText w:val=""/>
      <w:lvlJc w:val="left"/>
      <w:pPr>
        <w:ind w:left="720" w:hanging="360"/>
      </w:pPr>
      <w:rPr>
        <w:rFonts w:ascii="Symbol" w:hAnsi="Symbol"/>
      </w:rPr>
    </w:lvl>
    <w:lvl w:ilvl="8" w:tplc="486E26EC">
      <w:start w:val="1"/>
      <w:numFmt w:val="bullet"/>
      <w:lvlText w:val=""/>
      <w:lvlJc w:val="left"/>
      <w:pPr>
        <w:ind w:left="720" w:hanging="360"/>
      </w:pPr>
      <w:rPr>
        <w:rFonts w:ascii="Symbol" w:hAnsi="Symbol"/>
      </w:rPr>
    </w:lvl>
  </w:abstractNum>
  <w:abstractNum w:abstractNumId="34" w15:restartNumberingAfterBreak="0">
    <w:nsid w:val="20A51E32"/>
    <w:multiLevelType w:val="hybridMultilevel"/>
    <w:tmpl w:val="4E94E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0F92E76"/>
    <w:multiLevelType w:val="hybridMultilevel"/>
    <w:tmpl w:val="33745870"/>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6" w15:restartNumberingAfterBreak="0">
    <w:nsid w:val="22735EFE"/>
    <w:multiLevelType w:val="hybridMultilevel"/>
    <w:tmpl w:val="0AEEA56A"/>
    <w:lvl w:ilvl="0" w:tplc="4C389272">
      <w:start w:val="1"/>
      <w:numFmt w:val="bullet"/>
      <w:lvlText w:val="•"/>
      <w:lvlJc w:val="left"/>
      <w:pPr>
        <w:ind w:left="360" w:hanging="360"/>
      </w:pPr>
    </w:lvl>
    <w:lvl w:ilvl="1" w:tplc="A888E66C">
      <w:numFmt w:val="decimal"/>
      <w:lvlText w:val=""/>
      <w:lvlJc w:val="left"/>
    </w:lvl>
    <w:lvl w:ilvl="2" w:tplc="7700C0FE">
      <w:numFmt w:val="decimal"/>
      <w:lvlText w:val=""/>
      <w:lvlJc w:val="left"/>
    </w:lvl>
    <w:lvl w:ilvl="3" w:tplc="78CCADBE">
      <w:numFmt w:val="decimal"/>
      <w:lvlText w:val=""/>
      <w:lvlJc w:val="left"/>
    </w:lvl>
    <w:lvl w:ilvl="4" w:tplc="004843F2">
      <w:numFmt w:val="decimal"/>
      <w:lvlText w:val=""/>
      <w:lvlJc w:val="left"/>
    </w:lvl>
    <w:lvl w:ilvl="5" w:tplc="036E125A">
      <w:numFmt w:val="decimal"/>
      <w:lvlText w:val=""/>
      <w:lvlJc w:val="left"/>
    </w:lvl>
    <w:lvl w:ilvl="6" w:tplc="53A0939E">
      <w:numFmt w:val="decimal"/>
      <w:lvlText w:val=""/>
      <w:lvlJc w:val="left"/>
    </w:lvl>
    <w:lvl w:ilvl="7" w:tplc="8C88E2AE">
      <w:numFmt w:val="decimal"/>
      <w:lvlText w:val=""/>
      <w:lvlJc w:val="left"/>
    </w:lvl>
    <w:lvl w:ilvl="8" w:tplc="E4B8E304">
      <w:numFmt w:val="decimal"/>
      <w:lvlText w:val=""/>
      <w:lvlJc w:val="left"/>
    </w:lvl>
  </w:abstractNum>
  <w:abstractNum w:abstractNumId="37" w15:restartNumberingAfterBreak="0">
    <w:nsid w:val="23066149"/>
    <w:multiLevelType w:val="hybridMultilevel"/>
    <w:tmpl w:val="F85EB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31758CA"/>
    <w:multiLevelType w:val="hybridMultilevel"/>
    <w:tmpl w:val="E626D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31A575F"/>
    <w:multiLevelType w:val="hybridMultilevel"/>
    <w:tmpl w:val="2000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553255A"/>
    <w:multiLevelType w:val="hybridMultilevel"/>
    <w:tmpl w:val="2E56FBC8"/>
    <w:lvl w:ilvl="0" w:tplc="B32C3372">
      <w:start w:val="1"/>
      <w:numFmt w:val="bullet"/>
      <w:lvlText w:val="•"/>
      <w:lvlJc w:val="left"/>
      <w:pPr>
        <w:tabs>
          <w:tab w:val="num" w:pos="720"/>
        </w:tabs>
        <w:ind w:left="720" w:hanging="360"/>
      </w:pPr>
      <w:rPr>
        <w:rFonts w:ascii="Arial" w:hAnsi="Arial" w:hint="default"/>
      </w:rPr>
    </w:lvl>
    <w:lvl w:ilvl="1" w:tplc="10943F02">
      <w:numFmt w:val="bullet"/>
      <w:lvlText w:val="•"/>
      <w:lvlJc w:val="left"/>
      <w:pPr>
        <w:tabs>
          <w:tab w:val="num" w:pos="1440"/>
        </w:tabs>
        <w:ind w:left="1440" w:hanging="360"/>
      </w:pPr>
      <w:rPr>
        <w:rFonts w:ascii="Arial" w:hAnsi="Arial" w:hint="default"/>
      </w:rPr>
    </w:lvl>
    <w:lvl w:ilvl="2" w:tplc="C060D062" w:tentative="1">
      <w:start w:val="1"/>
      <w:numFmt w:val="bullet"/>
      <w:lvlText w:val="•"/>
      <w:lvlJc w:val="left"/>
      <w:pPr>
        <w:tabs>
          <w:tab w:val="num" w:pos="2160"/>
        </w:tabs>
        <w:ind w:left="2160" w:hanging="360"/>
      </w:pPr>
      <w:rPr>
        <w:rFonts w:ascii="Arial" w:hAnsi="Arial" w:hint="default"/>
      </w:rPr>
    </w:lvl>
    <w:lvl w:ilvl="3" w:tplc="E9FE7BF0" w:tentative="1">
      <w:start w:val="1"/>
      <w:numFmt w:val="bullet"/>
      <w:lvlText w:val="•"/>
      <w:lvlJc w:val="left"/>
      <w:pPr>
        <w:tabs>
          <w:tab w:val="num" w:pos="2880"/>
        </w:tabs>
        <w:ind w:left="2880" w:hanging="360"/>
      </w:pPr>
      <w:rPr>
        <w:rFonts w:ascii="Arial" w:hAnsi="Arial" w:hint="default"/>
      </w:rPr>
    </w:lvl>
    <w:lvl w:ilvl="4" w:tplc="0624F788" w:tentative="1">
      <w:start w:val="1"/>
      <w:numFmt w:val="bullet"/>
      <w:lvlText w:val="•"/>
      <w:lvlJc w:val="left"/>
      <w:pPr>
        <w:tabs>
          <w:tab w:val="num" w:pos="3600"/>
        </w:tabs>
        <w:ind w:left="3600" w:hanging="360"/>
      </w:pPr>
      <w:rPr>
        <w:rFonts w:ascii="Arial" w:hAnsi="Arial" w:hint="default"/>
      </w:rPr>
    </w:lvl>
    <w:lvl w:ilvl="5" w:tplc="D2187B96" w:tentative="1">
      <w:start w:val="1"/>
      <w:numFmt w:val="bullet"/>
      <w:lvlText w:val="•"/>
      <w:lvlJc w:val="left"/>
      <w:pPr>
        <w:tabs>
          <w:tab w:val="num" w:pos="4320"/>
        </w:tabs>
        <w:ind w:left="4320" w:hanging="360"/>
      </w:pPr>
      <w:rPr>
        <w:rFonts w:ascii="Arial" w:hAnsi="Arial" w:hint="default"/>
      </w:rPr>
    </w:lvl>
    <w:lvl w:ilvl="6" w:tplc="BF9693C0" w:tentative="1">
      <w:start w:val="1"/>
      <w:numFmt w:val="bullet"/>
      <w:lvlText w:val="•"/>
      <w:lvlJc w:val="left"/>
      <w:pPr>
        <w:tabs>
          <w:tab w:val="num" w:pos="5040"/>
        </w:tabs>
        <w:ind w:left="5040" w:hanging="360"/>
      </w:pPr>
      <w:rPr>
        <w:rFonts w:ascii="Arial" w:hAnsi="Arial" w:hint="default"/>
      </w:rPr>
    </w:lvl>
    <w:lvl w:ilvl="7" w:tplc="C69CDC58" w:tentative="1">
      <w:start w:val="1"/>
      <w:numFmt w:val="bullet"/>
      <w:lvlText w:val="•"/>
      <w:lvlJc w:val="left"/>
      <w:pPr>
        <w:tabs>
          <w:tab w:val="num" w:pos="5760"/>
        </w:tabs>
        <w:ind w:left="5760" w:hanging="360"/>
      </w:pPr>
      <w:rPr>
        <w:rFonts w:ascii="Arial" w:hAnsi="Arial" w:hint="default"/>
      </w:rPr>
    </w:lvl>
    <w:lvl w:ilvl="8" w:tplc="A15E0E1A"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278B36C5"/>
    <w:multiLevelType w:val="hybridMultilevel"/>
    <w:tmpl w:val="AD2C17BA"/>
    <w:lvl w:ilvl="0" w:tplc="8398D0AA">
      <w:start w:val="1"/>
      <w:numFmt w:val="bullet"/>
      <w:lvlText w:val=""/>
      <w:lvlJc w:val="left"/>
      <w:pPr>
        <w:ind w:left="1440" w:hanging="360"/>
      </w:pPr>
      <w:rPr>
        <w:rFonts w:ascii="Symbol" w:hAnsi="Symbol"/>
      </w:rPr>
    </w:lvl>
    <w:lvl w:ilvl="1" w:tplc="B470BB32">
      <w:start w:val="1"/>
      <w:numFmt w:val="bullet"/>
      <w:lvlText w:val=""/>
      <w:lvlJc w:val="left"/>
      <w:pPr>
        <w:ind w:left="1440" w:hanging="360"/>
      </w:pPr>
      <w:rPr>
        <w:rFonts w:ascii="Symbol" w:hAnsi="Symbol"/>
      </w:rPr>
    </w:lvl>
    <w:lvl w:ilvl="2" w:tplc="2572FB86">
      <w:start w:val="1"/>
      <w:numFmt w:val="bullet"/>
      <w:lvlText w:val=""/>
      <w:lvlJc w:val="left"/>
      <w:pPr>
        <w:ind w:left="1440" w:hanging="360"/>
      </w:pPr>
      <w:rPr>
        <w:rFonts w:ascii="Symbol" w:hAnsi="Symbol"/>
      </w:rPr>
    </w:lvl>
    <w:lvl w:ilvl="3" w:tplc="CB225100">
      <w:start w:val="1"/>
      <w:numFmt w:val="bullet"/>
      <w:lvlText w:val=""/>
      <w:lvlJc w:val="left"/>
      <w:pPr>
        <w:ind w:left="1440" w:hanging="360"/>
      </w:pPr>
      <w:rPr>
        <w:rFonts w:ascii="Symbol" w:hAnsi="Symbol"/>
      </w:rPr>
    </w:lvl>
    <w:lvl w:ilvl="4" w:tplc="FD8C9672">
      <w:start w:val="1"/>
      <w:numFmt w:val="bullet"/>
      <w:lvlText w:val=""/>
      <w:lvlJc w:val="left"/>
      <w:pPr>
        <w:ind w:left="1440" w:hanging="360"/>
      </w:pPr>
      <w:rPr>
        <w:rFonts w:ascii="Symbol" w:hAnsi="Symbol"/>
      </w:rPr>
    </w:lvl>
    <w:lvl w:ilvl="5" w:tplc="F6C0C05A">
      <w:start w:val="1"/>
      <w:numFmt w:val="bullet"/>
      <w:lvlText w:val=""/>
      <w:lvlJc w:val="left"/>
      <w:pPr>
        <w:ind w:left="1440" w:hanging="360"/>
      </w:pPr>
      <w:rPr>
        <w:rFonts w:ascii="Symbol" w:hAnsi="Symbol"/>
      </w:rPr>
    </w:lvl>
    <w:lvl w:ilvl="6" w:tplc="C2E457C8">
      <w:start w:val="1"/>
      <w:numFmt w:val="bullet"/>
      <w:lvlText w:val=""/>
      <w:lvlJc w:val="left"/>
      <w:pPr>
        <w:ind w:left="1440" w:hanging="360"/>
      </w:pPr>
      <w:rPr>
        <w:rFonts w:ascii="Symbol" w:hAnsi="Symbol"/>
      </w:rPr>
    </w:lvl>
    <w:lvl w:ilvl="7" w:tplc="0ED2EED0">
      <w:start w:val="1"/>
      <w:numFmt w:val="bullet"/>
      <w:lvlText w:val=""/>
      <w:lvlJc w:val="left"/>
      <w:pPr>
        <w:ind w:left="1440" w:hanging="360"/>
      </w:pPr>
      <w:rPr>
        <w:rFonts w:ascii="Symbol" w:hAnsi="Symbol"/>
      </w:rPr>
    </w:lvl>
    <w:lvl w:ilvl="8" w:tplc="532AF94A">
      <w:start w:val="1"/>
      <w:numFmt w:val="bullet"/>
      <w:lvlText w:val=""/>
      <w:lvlJc w:val="left"/>
      <w:pPr>
        <w:ind w:left="1440" w:hanging="360"/>
      </w:pPr>
      <w:rPr>
        <w:rFonts w:ascii="Symbol" w:hAnsi="Symbol"/>
      </w:rPr>
    </w:lvl>
  </w:abstractNum>
  <w:abstractNum w:abstractNumId="42" w15:restartNumberingAfterBreak="0">
    <w:nsid w:val="28126568"/>
    <w:multiLevelType w:val="multilevel"/>
    <w:tmpl w:val="43D6F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B90515"/>
    <w:multiLevelType w:val="hybridMultilevel"/>
    <w:tmpl w:val="9E54AC74"/>
    <w:lvl w:ilvl="0" w:tplc="327ADF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8CD6C02"/>
    <w:multiLevelType w:val="hybridMultilevel"/>
    <w:tmpl w:val="278EEBC0"/>
    <w:lvl w:ilvl="0" w:tplc="FFFFFFFF">
      <w:start w:val="1"/>
      <w:numFmt w:val="decimal"/>
      <w:lvlText w:val="%1."/>
      <w:lvlJc w:val="left"/>
      <w:pPr>
        <w:ind w:left="720" w:hanging="360"/>
      </w:pPr>
      <w:rPr>
        <w:rFonts w:hint="default"/>
        <w:b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9497F60"/>
    <w:multiLevelType w:val="hybridMultilevel"/>
    <w:tmpl w:val="D5303D9E"/>
    <w:lvl w:ilvl="0" w:tplc="4A842914">
      <w:start w:val="1"/>
      <w:numFmt w:val="bullet"/>
      <w:lvlText w:val=""/>
      <w:lvlJc w:val="left"/>
      <w:pPr>
        <w:ind w:left="1440" w:hanging="360"/>
      </w:pPr>
      <w:rPr>
        <w:rFonts w:ascii="Symbol" w:hAnsi="Symbol"/>
      </w:rPr>
    </w:lvl>
    <w:lvl w:ilvl="1" w:tplc="72269F60">
      <w:start w:val="1"/>
      <w:numFmt w:val="bullet"/>
      <w:lvlText w:val=""/>
      <w:lvlJc w:val="left"/>
      <w:pPr>
        <w:ind w:left="1440" w:hanging="360"/>
      </w:pPr>
      <w:rPr>
        <w:rFonts w:ascii="Symbol" w:hAnsi="Symbol"/>
      </w:rPr>
    </w:lvl>
    <w:lvl w:ilvl="2" w:tplc="CC1CDA40">
      <w:start w:val="1"/>
      <w:numFmt w:val="bullet"/>
      <w:lvlText w:val=""/>
      <w:lvlJc w:val="left"/>
      <w:pPr>
        <w:ind w:left="1440" w:hanging="360"/>
      </w:pPr>
      <w:rPr>
        <w:rFonts w:ascii="Symbol" w:hAnsi="Symbol"/>
      </w:rPr>
    </w:lvl>
    <w:lvl w:ilvl="3" w:tplc="5332202C">
      <w:start w:val="1"/>
      <w:numFmt w:val="bullet"/>
      <w:lvlText w:val=""/>
      <w:lvlJc w:val="left"/>
      <w:pPr>
        <w:ind w:left="1440" w:hanging="360"/>
      </w:pPr>
      <w:rPr>
        <w:rFonts w:ascii="Symbol" w:hAnsi="Symbol"/>
      </w:rPr>
    </w:lvl>
    <w:lvl w:ilvl="4" w:tplc="BF187F70">
      <w:start w:val="1"/>
      <w:numFmt w:val="bullet"/>
      <w:lvlText w:val=""/>
      <w:lvlJc w:val="left"/>
      <w:pPr>
        <w:ind w:left="1440" w:hanging="360"/>
      </w:pPr>
      <w:rPr>
        <w:rFonts w:ascii="Symbol" w:hAnsi="Symbol"/>
      </w:rPr>
    </w:lvl>
    <w:lvl w:ilvl="5" w:tplc="79BA60AE">
      <w:start w:val="1"/>
      <w:numFmt w:val="bullet"/>
      <w:lvlText w:val=""/>
      <w:lvlJc w:val="left"/>
      <w:pPr>
        <w:ind w:left="1440" w:hanging="360"/>
      </w:pPr>
      <w:rPr>
        <w:rFonts w:ascii="Symbol" w:hAnsi="Symbol"/>
      </w:rPr>
    </w:lvl>
    <w:lvl w:ilvl="6" w:tplc="62D4D54A">
      <w:start w:val="1"/>
      <w:numFmt w:val="bullet"/>
      <w:lvlText w:val=""/>
      <w:lvlJc w:val="left"/>
      <w:pPr>
        <w:ind w:left="1440" w:hanging="360"/>
      </w:pPr>
      <w:rPr>
        <w:rFonts w:ascii="Symbol" w:hAnsi="Symbol"/>
      </w:rPr>
    </w:lvl>
    <w:lvl w:ilvl="7" w:tplc="FBFA3E54">
      <w:start w:val="1"/>
      <w:numFmt w:val="bullet"/>
      <w:lvlText w:val=""/>
      <w:lvlJc w:val="left"/>
      <w:pPr>
        <w:ind w:left="1440" w:hanging="360"/>
      </w:pPr>
      <w:rPr>
        <w:rFonts w:ascii="Symbol" w:hAnsi="Symbol"/>
      </w:rPr>
    </w:lvl>
    <w:lvl w:ilvl="8" w:tplc="ABD23E1E">
      <w:start w:val="1"/>
      <w:numFmt w:val="bullet"/>
      <w:lvlText w:val=""/>
      <w:lvlJc w:val="left"/>
      <w:pPr>
        <w:ind w:left="1440" w:hanging="360"/>
      </w:pPr>
      <w:rPr>
        <w:rFonts w:ascii="Symbol" w:hAnsi="Symbol"/>
      </w:rPr>
    </w:lvl>
  </w:abstractNum>
  <w:abstractNum w:abstractNumId="46" w15:restartNumberingAfterBreak="0">
    <w:nsid w:val="2A943724"/>
    <w:multiLevelType w:val="hybridMultilevel"/>
    <w:tmpl w:val="19402BC0"/>
    <w:lvl w:ilvl="0" w:tplc="DC565E9E">
      <w:start w:val="1"/>
      <w:numFmt w:val="bullet"/>
      <w:lvlText w:val=""/>
      <w:lvlJc w:val="left"/>
      <w:pPr>
        <w:ind w:left="1220" w:hanging="360"/>
      </w:pPr>
      <w:rPr>
        <w:rFonts w:ascii="Symbol" w:hAnsi="Symbol"/>
      </w:rPr>
    </w:lvl>
    <w:lvl w:ilvl="1" w:tplc="3E3038AC">
      <w:start w:val="1"/>
      <w:numFmt w:val="bullet"/>
      <w:lvlText w:val=""/>
      <w:lvlJc w:val="left"/>
      <w:pPr>
        <w:ind w:left="1220" w:hanging="360"/>
      </w:pPr>
      <w:rPr>
        <w:rFonts w:ascii="Symbol" w:hAnsi="Symbol"/>
      </w:rPr>
    </w:lvl>
    <w:lvl w:ilvl="2" w:tplc="92BE0170">
      <w:start w:val="1"/>
      <w:numFmt w:val="bullet"/>
      <w:lvlText w:val=""/>
      <w:lvlJc w:val="left"/>
      <w:pPr>
        <w:ind w:left="1220" w:hanging="360"/>
      </w:pPr>
      <w:rPr>
        <w:rFonts w:ascii="Symbol" w:hAnsi="Symbol"/>
      </w:rPr>
    </w:lvl>
    <w:lvl w:ilvl="3" w:tplc="92D2004A">
      <w:start w:val="1"/>
      <w:numFmt w:val="bullet"/>
      <w:lvlText w:val=""/>
      <w:lvlJc w:val="left"/>
      <w:pPr>
        <w:ind w:left="1220" w:hanging="360"/>
      </w:pPr>
      <w:rPr>
        <w:rFonts w:ascii="Symbol" w:hAnsi="Symbol"/>
      </w:rPr>
    </w:lvl>
    <w:lvl w:ilvl="4" w:tplc="79D0C512">
      <w:start w:val="1"/>
      <w:numFmt w:val="bullet"/>
      <w:lvlText w:val=""/>
      <w:lvlJc w:val="left"/>
      <w:pPr>
        <w:ind w:left="1220" w:hanging="360"/>
      </w:pPr>
      <w:rPr>
        <w:rFonts w:ascii="Symbol" w:hAnsi="Symbol"/>
      </w:rPr>
    </w:lvl>
    <w:lvl w:ilvl="5" w:tplc="EC2C030C">
      <w:start w:val="1"/>
      <w:numFmt w:val="bullet"/>
      <w:lvlText w:val=""/>
      <w:lvlJc w:val="left"/>
      <w:pPr>
        <w:ind w:left="1220" w:hanging="360"/>
      </w:pPr>
      <w:rPr>
        <w:rFonts w:ascii="Symbol" w:hAnsi="Symbol"/>
      </w:rPr>
    </w:lvl>
    <w:lvl w:ilvl="6" w:tplc="4D46EEA8">
      <w:start w:val="1"/>
      <w:numFmt w:val="bullet"/>
      <w:lvlText w:val=""/>
      <w:lvlJc w:val="left"/>
      <w:pPr>
        <w:ind w:left="1220" w:hanging="360"/>
      </w:pPr>
      <w:rPr>
        <w:rFonts w:ascii="Symbol" w:hAnsi="Symbol"/>
      </w:rPr>
    </w:lvl>
    <w:lvl w:ilvl="7" w:tplc="6516713C">
      <w:start w:val="1"/>
      <w:numFmt w:val="bullet"/>
      <w:lvlText w:val=""/>
      <w:lvlJc w:val="left"/>
      <w:pPr>
        <w:ind w:left="1220" w:hanging="360"/>
      </w:pPr>
      <w:rPr>
        <w:rFonts w:ascii="Symbol" w:hAnsi="Symbol"/>
      </w:rPr>
    </w:lvl>
    <w:lvl w:ilvl="8" w:tplc="A4747D4A">
      <w:start w:val="1"/>
      <w:numFmt w:val="bullet"/>
      <w:lvlText w:val=""/>
      <w:lvlJc w:val="left"/>
      <w:pPr>
        <w:ind w:left="1220" w:hanging="360"/>
      </w:pPr>
      <w:rPr>
        <w:rFonts w:ascii="Symbol" w:hAnsi="Symbol"/>
      </w:rPr>
    </w:lvl>
  </w:abstractNum>
  <w:abstractNum w:abstractNumId="47" w15:restartNumberingAfterBreak="0">
    <w:nsid w:val="2D7B7851"/>
    <w:multiLevelType w:val="multilevel"/>
    <w:tmpl w:val="071053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8" w15:restartNumberingAfterBreak="0">
    <w:nsid w:val="2D8F0518"/>
    <w:multiLevelType w:val="hybridMultilevel"/>
    <w:tmpl w:val="B27E2F6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E1E0254"/>
    <w:multiLevelType w:val="hybridMultilevel"/>
    <w:tmpl w:val="118A388A"/>
    <w:lvl w:ilvl="0" w:tplc="70FC0288">
      <w:start w:val="1"/>
      <w:numFmt w:val="bullet"/>
      <w:lvlText w:val=""/>
      <w:lvlJc w:val="left"/>
      <w:pPr>
        <w:ind w:left="1080" w:hanging="360"/>
      </w:pPr>
      <w:rPr>
        <w:rFonts w:ascii="Symbol" w:hAnsi="Symbol"/>
      </w:rPr>
    </w:lvl>
    <w:lvl w:ilvl="1" w:tplc="61846496">
      <w:start w:val="1"/>
      <w:numFmt w:val="bullet"/>
      <w:lvlText w:val=""/>
      <w:lvlJc w:val="left"/>
      <w:pPr>
        <w:ind w:left="1080" w:hanging="360"/>
      </w:pPr>
      <w:rPr>
        <w:rFonts w:ascii="Symbol" w:hAnsi="Symbol"/>
      </w:rPr>
    </w:lvl>
    <w:lvl w:ilvl="2" w:tplc="2A1E3DC6">
      <w:start w:val="1"/>
      <w:numFmt w:val="bullet"/>
      <w:lvlText w:val=""/>
      <w:lvlJc w:val="left"/>
      <w:pPr>
        <w:ind w:left="1080" w:hanging="360"/>
      </w:pPr>
      <w:rPr>
        <w:rFonts w:ascii="Symbol" w:hAnsi="Symbol"/>
      </w:rPr>
    </w:lvl>
    <w:lvl w:ilvl="3" w:tplc="319A2B76">
      <w:start w:val="1"/>
      <w:numFmt w:val="bullet"/>
      <w:lvlText w:val=""/>
      <w:lvlJc w:val="left"/>
      <w:pPr>
        <w:ind w:left="1080" w:hanging="360"/>
      </w:pPr>
      <w:rPr>
        <w:rFonts w:ascii="Symbol" w:hAnsi="Symbol"/>
      </w:rPr>
    </w:lvl>
    <w:lvl w:ilvl="4" w:tplc="B22A808A">
      <w:start w:val="1"/>
      <w:numFmt w:val="bullet"/>
      <w:lvlText w:val=""/>
      <w:lvlJc w:val="left"/>
      <w:pPr>
        <w:ind w:left="1080" w:hanging="360"/>
      </w:pPr>
      <w:rPr>
        <w:rFonts w:ascii="Symbol" w:hAnsi="Symbol"/>
      </w:rPr>
    </w:lvl>
    <w:lvl w:ilvl="5" w:tplc="A36E5A5C">
      <w:start w:val="1"/>
      <w:numFmt w:val="bullet"/>
      <w:lvlText w:val=""/>
      <w:lvlJc w:val="left"/>
      <w:pPr>
        <w:ind w:left="1080" w:hanging="360"/>
      </w:pPr>
      <w:rPr>
        <w:rFonts w:ascii="Symbol" w:hAnsi="Symbol"/>
      </w:rPr>
    </w:lvl>
    <w:lvl w:ilvl="6" w:tplc="06EA798C">
      <w:start w:val="1"/>
      <w:numFmt w:val="bullet"/>
      <w:lvlText w:val=""/>
      <w:lvlJc w:val="left"/>
      <w:pPr>
        <w:ind w:left="1080" w:hanging="360"/>
      </w:pPr>
      <w:rPr>
        <w:rFonts w:ascii="Symbol" w:hAnsi="Symbol"/>
      </w:rPr>
    </w:lvl>
    <w:lvl w:ilvl="7" w:tplc="6034028A">
      <w:start w:val="1"/>
      <w:numFmt w:val="bullet"/>
      <w:lvlText w:val=""/>
      <w:lvlJc w:val="left"/>
      <w:pPr>
        <w:ind w:left="1080" w:hanging="360"/>
      </w:pPr>
      <w:rPr>
        <w:rFonts w:ascii="Symbol" w:hAnsi="Symbol"/>
      </w:rPr>
    </w:lvl>
    <w:lvl w:ilvl="8" w:tplc="D304D690">
      <w:start w:val="1"/>
      <w:numFmt w:val="bullet"/>
      <w:lvlText w:val=""/>
      <w:lvlJc w:val="left"/>
      <w:pPr>
        <w:ind w:left="1080" w:hanging="360"/>
      </w:pPr>
      <w:rPr>
        <w:rFonts w:ascii="Symbol" w:hAnsi="Symbol"/>
      </w:rPr>
    </w:lvl>
  </w:abstractNum>
  <w:abstractNum w:abstractNumId="50" w15:restartNumberingAfterBreak="0">
    <w:nsid w:val="2E31436B"/>
    <w:multiLevelType w:val="multilevel"/>
    <w:tmpl w:val="1B247596"/>
    <w:lvl w:ilvl="0">
      <w:start w:val="1"/>
      <w:numFmt w:val="decimal"/>
      <w:lvlText w:val="%1."/>
      <w:lvlJc w:val="left"/>
      <w:pPr>
        <w:ind w:left="720" w:hanging="360"/>
      </w:pPr>
    </w:lvl>
    <w:lvl w:ilvl="1">
      <w:start w:val="2"/>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2E9A159C"/>
    <w:multiLevelType w:val="multilevel"/>
    <w:tmpl w:val="792E4C9A"/>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2EF40EC1"/>
    <w:multiLevelType w:val="hybridMultilevel"/>
    <w:tmpl w:val="6764FEA2"/>
    <w:lvl w:ilvl="0" w:tplc="FFFFFFFF">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2FF74A8E"/>
    <w:multiLevelType w:val="hybridMultilevel"/>
    <w:tmpl w:val="401CD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1427657"/>
    <w:multiLevelType w:val="hybridMultilevel"/>
    <w:tmpl w:val="43349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1571EBF"/>
    <w:multiLevelType w:val="hybridMultilevel"/>
    <w:tmpl w:val="68D08D6C"/>
    <w:lvl w:ilvl="0" w:tplc="0E02B4F2">
      <w:start w:val="1"/>
      <w:numFmt w:val="decimal"/>
      <w:lvlText w:val="%1)"/>
      <w:lvlJc w:val="left"/>
      <w:pPr>
        <w:ind w:left="1020" w:hanging="360"/>
      </w:pPr>
    </w:lvl>
    <w:lvl w:ilvl="1" w:tplc="15E2EEA6">
      <w:start w:val="1"/>
      <w:numFmt w:val="decimal"/>
      <w:lvlText w:val="%2)"/>
      <w:lvlJc w:val="left"/>
      <w:pPr>
        <w:ind w:left="1020" w:hanging="360"/>
      </w:pPr>
    </w:lvl>
    <w:lvl w:ilvl="2" w:tplc="07629EF2">
      <w:start w:val="1"/>
      <w:numFmt w:val="decimal"/>
      <w:lvlText w:val="%3)"/>
      <w:lvlJc w:val="left"/>
      <w:pPr>
        <w:ind w:left="1020" w:hanging="360"/>
      </w:pPr>
    </w:lvl>
    <w:lvl w:ilvl="3" w:tplc="44329D6C">
      <w:start w:val="1"/>
      <w:numFmt w:val="decimal"/>
      <w:lvlText w:val="%4)"/>
      <w:lvlJc w:val="left"/>
      <w:pPr>
        <w:ind w:left="1020" w:hanging="360"/>
      </w:pPr>
    </w:lvl>
    <w:lvl w:ilvl="4" w:tplc="C308A29E">
      <w:start w:val="1"/>
      <w:numFmt w:val="decimal"/>
      <w:lvlText w:val="%5)"/>
      <w:lvlJc w:val="left"/>
      <w:pPr>
        <w:ind w:left="1020" w:hanging="360"/>
      </w:pPr>
    </w:lvl>
    <w:lvl w:ilvl="5" w:tplc="F75C447C">
      <w:start w:val="1"/>
      <w:numFmt w:val="decimal"/>
      <w:lvlText w:val="%6)"/>
      <w:lvlJc w:val="left"/>
      <w:pPr>
        <w:ind w:left="1020" w:hanging="360"/>
      </w:pPr>
    </w:lvl>
    <w:lvl w:ilvl="6" w:tplc="9ED4C4C6">
      <w:start w:val="1"/>
      <w:numFmt w:val="decimal"/>
      <w:lvlText w:val="%7)"/>
      <w:lvlJc w:val="left"/>
      <w:pPr>
        <w:ind w:left="1020" w:hanging="360"/>
      </w:pPr>
    </w:lvl>
    <w:lvl w:ilvl="7" w:tplc="99361B8A">
      <w:start w:val="1"/>
      <w:numFmt w:val="decimal"/>
      <w:lvlText w:val="%8)"/>
      <w:lvlJc w:val="left"/>
      <w:pPr>
        <w:ind w:left="1020" w:hanging="360"/>
      </w:pPr>
    </w:lvl>
    <w:lvl w:ilvl="8" w:tplc="BE88DC64">
      <w:start w:val="1"/>
      <w:numFmt w:val="decimal"/>
      <w:lvlText w:val="%9)"/>
      <w:lvlJc w:val="left"/>
      <w:pPr>
        <w:ind w:left="1020" w:hanging="360"/>
      </w:pPr>
    </w:lvl>
  </w:abstractNum>
  <w:abstractNum w:abstractNumId="56" w15:restartNumberingAfterBreak="0">
    <w:nsid w:val="33853B79"/>
    <w:multiLevelType w:val="hybridMultilevel"/>
    <w:tmpl w:val="31BEA6AA"/>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38CB5A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15:restartNumberingAfterBreak="0">
    <w:nsid w:val="338D5EA8"/>
    <w:multiLevelType w:val="hybridMultilevel"/>
    <w:tmpl w:val="3BA6D1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4235696"/>
    <w:multiLevelType w:val="hybridMultilevel"/>
    <w:tmpl w:val="EB3C1E12"/>
    <w:lvl w:ilvl="0" w:tplc="23A289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5182ACF"/>
    <w:multiLevelType w:val="hybridMultilevel"/>
    <w:tmpl w:val="C38A0A28"/>
    <w:lvl w:ilvl="0" w:tplc="A1CA42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60A69E5"/>
    <w:multiLevelType w:val="hybridMultilevel"/>
    <w:tmpl w:val="8C54E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62D2AAB"/>
    <w:multiLevelType w:val="hybridMultilevel"/>
    <w:tmpl w:val="9CD6694E"/>
    <w:lvl w:ilvl="0" w:tplc="0409000F">
      <w:start w:val="1"/>
      <w:numFmt w:val="decimal"/>
      <w:lvlText w:val="%1."/>
      <w:lvlJc w:val="left"/>
      <w:pPr>
        <w:ind w:left="720" w:hanging="360"/>
      </w:pPr>
      <w:rPr>
        <w:rFonts w:hint="default"/>
        <w:b/>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378B1122"/>
    <w:multiLevelType w:val="hybridMultilevel"/>
    <w:tmpl w:val="A3DE1F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8803950"/>
    <w:multiLevelType w:val="hybridMultilevel"/>
    <w:tmpl w:val="408CCE6C"/>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8EE2FD1"/>
    <w:multiLevelType w:val="hybridMultilevel"/>
    <w:tmpl w:val="6948539E"/>
    <w:lvl w:ilvl="0" w:tplc="66A40664">
      <w:start w:val="1"/>
      <w:numFmt w:val="decimal"/>
      <w:lvlText w:val="%1."/>
      <w:lvlJc w:val="left"/>
      <w:pPr>
        <w:ind w:left="360" w:hanging="260"/>
      </w:pPr>
    </w:lvl>
    <w:lvl w:ilvl="1" w:tplc="80E67CC8">
      <w:numFmt w:val="decimal"/>
      <w:lvlText w:val=""/>
      <w:lvlJc w:val="left"/>
    </w:lvl>
    <w:lvl w:ilvl="2" w:tplc="68829964">
      <w:numFmt w:val="decimal"/>
      <w:lvlText w:val=""/>
      <w:lvlJc w:val="left"/>
    </w:lvl>
    <w:lvl w:ilvl="3" w:tplc="07B861E4">
      <w:numFmt w:val="decimal"/>
      <w:lvlText w:val=""/>
      <w:lvlJc w:val="left"/>
    </w:lvl>
    <w:lvl w:ilvl="4" w:tplc="FAA42B90">
      <w:numFmt w:val="decimal"/>
      <w:lvlText w:val=""/>
      <w:lvlJc w:val="left"/>
    </w:lvl>
    <w:lvl w:ilvl="5" w:tplc="ABBE3E88">
      <w:numFmt w:val="decimal"/>
      <w:lvlText w:val=""/>
      <w:lvlJc w:val="left"/>
    </w:lvl>
    <w:lvl w:ilvl="6" w:tplc="6152EA48">
      <w:numFmt w:val="decimal"/>
      <w:lvlText w:val=""/>
      <w:lvlJc w:val="left"/>
    </w:lvl>
    <w:lvl w:ilvl="7" w:tplc="5E80A7C0">
      <w:numFmt w:val="decimal"/>
      <w:lvlText w:val=""/>
      <w:lvlJc w:val="left"/>
    </w:lvl>
    <w:lvl w:ilvl="8" w:tplc="FD960A9C">
      <w:numFmt w:val="decimal"/>
      <w:lvlText w:val=""/>
      <w:lvlJc w:val="left"/>
    </w:lvl>
  </w:abstractNum>
  <w:abstractNum w:abstractNumId="66" w15:restartNumberingAfterBreak="0">
    <w:nsid w:val="397A56A3"/>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15:restartNumberingAfterBreak="0">
    <w:nsid w:val="3A0C19A5"/>
    <w:multiLevelType w:val="hybridMultilevel"/>
    <w:tmpl w:val="C994D4B0"/>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3A336568"/>
    <w:multiLevelType w:val="hybridMultilevel"/>
    <w:tmpl w:val="453EC512"/>
    <w:lvl w:ilvl="0" w:tplc="E0FCCB7A">
      <w:start w:val="1"/>
      <w:numFmt w:val="bullet"/>
      <w:lvlText w:val=""/>
      <w:lvlJc w:val="left"/>
      <w:pPr>
        <w:ind w:left="720" w:hanging="360"/>
      </w:pPr>
      <w:rPr>
        <w:rFonts w:ascii="Symbol" w:hAnsi="Symbol"/>
      </w:rPr>
    </w:lvl>
    <w:lvl w:ilvl="1" w:tplc="B71AD008">
      <w:start w:val="1"/>
      <w:numFmt w:val="bullet"/>
      <w:lvlText w:val=""/>
      <w:lvlJc w:val="left"/>
      <w:pPr>
        <w:ind w:left="720" w:hanging="360"/>
      </w:pPr>
      <w:rPr>
        <w:rFonts w:ascii="Symbol" w:hAnsi="Symbol"/>
      </w:rPr>
    </w:lvl>
    <w:lvl w:ilvl="2" w:tplc="67ACD10C">
      <w:start w:val="1"/>
      <w:numFmt w:val="bullet"/>
      <w:lvlText w:val=""/>
      <w:lvlJc w:val="left"/>
      <w:pPr>
        <w:ind w:left="720" w:hanging="360"/>
      </w:pPr>
      <w:rPr>
        <w:rFonts w:ascii="Symbol" w:hAnsi="Symbol"/>
      </w:rPr>
    </w:lvl>
    <w:lvl w:ilvl="3" w:tplc="76FE8298">
      <w:start w:val="1"/>
      <w:numFmt w:val="bullet"/>
      <w:lvlText w:val=""/>
      <w:lvlJc w:val="left"/>
      <w:pPr>
        <w:ind w:left="720" w:hanging="360"/>
      </w:pPr>
      <w:rPr>
        <w:rFonts w:ascii="Symbol" w:hAnsi="Symbol"/>
      </w:rPr>
    </w:lvl>
    <w:lvl w:ilvl="4" w:tplc="7E669C40">
      <w:start w:val="1"/>
      <w:numFmt w:val="bullet"/>
      <w:lvlText w:val=""/>
      <w:lvlJc w:val="left"/>
      <w:pPr>
        <w:ind w:left="720" w:hanging="360"/>
      </w:pPr>
      <w:rPr>
        <w:rFonts w:ascii="Symbol" w:hAnsi="Symbol"/>
      </w:rPr>
    </w:lvl>
    <w:lvl w:ilvl="5" w:tplc="DCF080FE">
      <w:start w:val="1"/>
      <w:numFmt w:val="bullet"/>
      <w:lvlText w:val=""/>
      <w:lvlJc w:val="left"/>
      <w:pPr>
        <w:ind w:left="720" w:hanging="360"/>
      </w:pPr>
      <w:rPr>
        <w:rFonts w:ascii="Symbol" w:hAnsi="Symbol"/>
      </w:rPr>
    </w:lvl>
    <w:lvl w:ilvl="6" w:tplc="EE164386">
      <w:start w:val="1"/>
      <w:numFmt w:val="bullet"/>
      <w:lvlText w:val=""/>
      <w:lvlJc w:val="left"/>
      <w:pPr>
        <w:ind w:left="720" w:hanging="360"/>
      </w:pPr>
      <w:rPr>
        <w:rFonts w:ascii="Symbol" w:hAnsi="Symbol"/>
      </w:rPr>
    </w:lvl>
    <w:lvl w:ilvl="7" w:tplc="D6146C5C">
      <w:start w:val="1"/>
      <w:numFmt w:val="bullet"/>
      <w:lvlText w:val=""/>
      <w:lvlJc w:val="left"/>
      <w:pPr>
        <w:ind w:left="720" w:hanging="360"/>
      </w:pPr>
      <w:rPr>
        <w:rFonts w:ascii="Symbol" w:hAnsi="Symbol"/>
      </w:rPr>
    </w:lvl>
    <w:lvl w:ilvl="8" w:tplc="67E42BE4">
      <w:start w:val="1"/>
      <w:numFmt w:val="bullet"/>
      <w:lvlText w:val=""/>
      <w:lvlJc w:val="left"/>
      <w:pPr>
        <w:ind w:left="720" w:hanging="360"/>
      </w:pPr>
      <w:rPr>
        <w:rFonts w:ascii="Symbol" w:hAnsi="Symbol"/>
      </w:rPr>
    </w:lvl>
  </w:abstractNum>
  <w:abstractNum w:abstractNumId="69" w15:restartNumberingAfterBreak="0">
    <w:nsid w:val="3A5174BE"/>
    <w:multiLevelType w:val="hybridMultilevel"/>
    <w:tmpl w:val="DC7E79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C4A1D91"/>
    <w:multiLevelType w:val="hybridMultilevel"/>
    <w:tmpl w:val="E034EE9A"/>
    <w:lvl w:ilvl="0" w:tplc="2F4A8D92">
      <w:start w:val="1"/>
      <w:numFmt w:val="bullet"/>
      <w:lvlText w:val=""/>
      <w:lvlJc w:val="left"/>
      <w:pPr>
        <w:ind w:left="1440" w:hanging="360"/>
      </w:pPr>
      <w:rPr>
        <w:rFonts w:ascii="Symbol" w:hAnsi="Symbol"/>
      </w:rPr>
    </w:lvl>
    <w:lvl w:ilvl="1" w:tplc="A79ED852">
      <w:start w:val="1"/>
      <w:numFmt w:val="bullet"/>
      <w:lvlText w:val=""/>
      <w:lvlJc w:val="left"/>
      <w:pPr>
        <w:ind w:left="1440" w:hanging="360"/>
      </w:pPr>
      <w:rPr>
        <w:rFonts w:ascii="Symbol" w:hAnsi="Symbol"/>
      </w:rPr>
    </w:lvl>
    <w:lvl w:ilvl="2" w:tplc="4CDC1866">
      <w:start w:val="1"/>
      <w:numFmt w:val="bullet"/>
      <w:lvlText w:val=""/>
      <w:lvlJc w:val="left"/>
      <w:pPr>
        <w:ind w:left="1440" w:hanging="360"/>
      </w:pPr>
      <w:rPr>
        <w:rFonts w:ascii="Symbol" w:hAnsi="Symbol"/>
      </w:rPr>
    </w:lvl>
    <w:lvl w:ilvl="3" w:tplc="7480D8FC">
      <w:start w:val="1"/>
      <w:numFmt w:val="bullet"/>
      <w:lvlText w:val=""/>
      <w:lvlJc w:val="left"/>
      <w:pPr>
        <w:ind w:left="1440" w:hanging="360"/>
      </w:pPr>
      <w:rPr>
        <w:rFonts w:ascii="Symbol" w:hAnsi="Symbol"/>
      </w:rPr>
    </w:lvl>
    <w:lvl w:ilvl="4" w:tplc="B7CA44AA">
      <w:start w:val="1"/>
      <w:numFmt w:val="bullet"/>
      <w:lvlText w:val=""/>
      <w:lvlJc w:val="left"/>
      <w:pPr>
        <w:ind w:left="1440" w:hanging="360"/>
      </w:pPr>
      <w:rPr>
        <w:rFonts w:ascii="Symbol" w:hAnsi="Symbol"/>
      </w:rPr>
    </w:lvl>
    <w:lvl w:ilvl="5" w:tplc="C33A05B2">
      <w:start w:val="1"/>
      <w:numFmt w:val="bullet"/>
      <w:lvlText w:val=""/>
      <w:lvlJc w:val="left"/>
      <w:pPr>
        <w:ind w:left="1440" w:hanging="360"/>
      </w:pPr>
      <w:rPr>
        <w:rFonts w:ascii="Symbol" w:hAnsi="Symbol"/>
      </w:rPr>
    </w:lvl>
    <w:lvl w:ilvl="6" w:tplc="F91C6892">
      <w:start w:val="1"/>
      <w:numFmt w:val="bullet"/>
      <w:lvlText w:val=""/>
      <w:lvlJc w:val="left"/>
      <w:pPr>
        <w:ind w:left="1440" w:hanging="360"/>
      </w:pPr>
      <w:rPr>
        <w:rFonts w:ascii="Symbol" w:hAnsi="Symbol"/>
      </w:rPr>
    </w:lvl>
    <w:lvl w:ilvl="7" w:tplc="FF587ABE">
      <w:start w:val="1"/>
      <w:numFmt w:val="bullet"/>
      <w:lvlText w:val=""/>
      <w:lvlJc w:val="left"/>
      <w:pPr>
        <w:ind w:left="1440" w:hanging="360"/>
      </w:pPr>
      <w:rPr>
        <w:rFonts w:ascii="Symbol" w:hAnsi="Symbol"/>
      </w:rPr>
    </w:lvl>
    <w:lvl w:ilvl="8" w:tplc="3AE4BC4E">
      <w:start w:val="1"/>
      <w:numFmt w:val="bullet"/>
      <w:lvlText w:val=""/>
      <w:lvlJc w:val="left"/>
      <w:pPr>
        <w:ind w:left="1440" w:hanging="360"/>
      </w:pPr>
      <w:rPr>
        <w:rFonts w:ascii="Symbol" w:hAnsi="Symbol"/>
      </w:rPr>
    </w:lvl>
  </w:abstractNum>
  <w:abstractNum w:abstractNumId="71" w15:restartNumberingAfterBreak="0">
    <w:nsid w:val="3D191712"/>
    <w:multiLevelType w:val="hybridMultilevel"/>
    <w:tmpl w:val="090691CE"/>
    <w:lvl w:ilvl="0" w:tplc="13B449BC">
      <w:start w:val="1"/>
      <w:numFmt w:val="bullet"/>
      <w:lvlText w:val=""/>
      <w:lvlJc w:val="left"/>
      <w:pPr>
        <w:ind w:left="720" w:hanging="360"/>
      </w:pPr>
      <w:rPr>
        <w:rFonts w:ascii="Symbol" w:hAnsi="Symbol"/>
      </w:rPr>
    </w:lvl>
    <w:lvl w:ilvl="1" w:tplc="0F3A9132">
      <w:start w:val="1"/>
      <w:numFmt w:val="bullet"/>
      <w:lvlText w:val=""/>
      <w:lvlJc w:val="left"/>
      <w:pPr>
        <w:ind w:left="720" w:hanging="360"/>
      </w:pPr>
      <w:rPr>
        <w:rFonts w:ascii="Symbol" w:hAnsi="Symbol"/>
      </w:rPr>
    </w:lvl>
    <w:lvl w:ilvl="2" w:tplc="24F29B6C">
      <w:start w:val="1"/>
      <w:numFmt w:val="bullet"/>
      <w:lvlText w:val=""/>
      <w:lvlJc w:val="left"/>
      <w:pPr>
        <w:ind w:left="720" w:hanging="360"/>
      </w:pPr>
      <w:rPr>
        <w:rFonts w:ascii="Symbol" w:hAnsi="Symbol"/>
      </w:rPr>
    </w:lvl>
    <w:lvl w:ilvl="3" w:tplc="2CFAFC9C">
      <w:start w:val="1"/>
      <w:numFmt w:val="bullet"/>
      <w:lvlText w:val=""/>
      <w:lvlJc w:val="left"/>
      <w:pPr>
        <w:ind w:left="720" w:hanging="360"/>
      </w:pPr>
      <w:rPr>
        <w:rFonts w:ascii="Symbol" w:hAnsi="Symbol"/>
      </w:rPr>
    </w:lvl>
    <w:lvl w:ilvl="4" w:tplc="9892906E">
      <w:start w:val="1"/>
      <w:numFmt w:val="bullet"/>
      <w:lvlText w:val=""/>
      <w:lvlJc w:val="left"/>
      <w:pPr>
        <w:ind w:left="720" w:hanging="360"/>
      </w:pPr>
      <w:rPr>
        <w:rFonts w:ascii="Symbol" w:hAnsi="Symbol"/>
      </w:rPr>
    </w:lvl>
    <w:lvl w:ilvl="5" w:tplc="4BD8EB5C">
      <w:start w:val="1"/>
      <w:numFmt w:val="bullet"/>
      <w:lvlText w:val=""/>
      <w:lvlJc w:val="left"/>
      <w:pPr>
        <w:ind w:left="720" w:hanging="360"/>
      </w:pPr>
      <w:rPr>
        <w:rFonts w:ascii="Symbol" w:hAnsi="Symbol"/>
      </w:rPr>
    </w:lvl>
    <w:lvl w:ilvl="6" w:tplc="F07EDB6C">
      <w:start w:val="1"/>
      <w:numFmt w:val="bullet"/>
      <w:lvlText w:val=""/>
      <w:lvlJc w:val="left"/>
      <w:pPr>
        <w:ind w:left="720" w:hanging="360"/>
      </w:pPr>
      <w:rPr>
        <w:rFonts w:ascii="Symbol" w:hAnsi="Symbol"/>
      </w:rPr>
    </w:lvl>
    <w:lvl w:ilvl="7" w:tplc="749E33FC">
      <w:start w:val="1"/>
      <w:numFmt w:val="bullet"/>
      <w:lvlText w:val=""/>
      <w:lvlJc w:val="left"/>
      <w:pPr>
        <w:ind w:left="720" w:hanging="360"/>
      </w:pPr>
      <w:rPr>
        <w:rFonts w:ascii="Symbol" w:hAnsi="Symbol"/>
      </w:rPr>
    </w:lvl>
    <w:lvl w:ilvl="8" w:tplc="954E6D86">
      <w:start w:val="1"/>
      <w:numFmt w:val="bullet"/>
      <w:lvlText w:val=""/>
      <w:lvlJc w:val="left"/>
      <w:pPr>
        <w:ind w:left="720" w:hanging="360"/>
      </w:pPr>
      <w:rPr>
        <w:rFonts w:ascii="Symbol" w:hAnsi="Symbol"/>
      </w:rPr>
    </w:lvl>
  </w:abstractNum>
  <w:abstractNum w:abstractNumId="72" w15:restartNumberingAfterBreak="0">
    <w:nsid w:val="3D3B4373"/>
    <w:multiLevelType w:val="hybridMultilevel"/>
    <w:tmpl w:val="AC70C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EA9262A"/>
    <w:multiLevelType w:val="hybridMultilevel"/>
    <w:tmpl w:val="C4C2E1F6"/>
    <w:lvl w:ilvl="0" w:tplc="5BF6811A">
      <w:start w:val="1"/>
      <w:numFmt w:val="bullet"/>
      <w:lvlText w:val="●"/>
      <w:lvlJc w:val="left"/>
      <w:pPr>
        <w:ind w:left="720" w:hanging="360"/>
      </w:pPr>
    </w:lvl>
    <w:lvl w:ilvl="1" w:tplc="68CCBEBA">
      <w:start w:val="1"/>
      <w:numFmt w:val="bullet"/>
      <w:lvlText w:val="○"/>
      <w:lvlJc w:val="left"/>
      <w:pPr>
        <w:ind w:left="1440" w:hanging="360"/>
      </w:pPr>
    </w:lvl>
    <w:lvl w:ilvl="2" w:tplc="95B27A0A">
      <w:start w:val="1"/>
      <w:numFmt w:val="bullet"/>
      <w:lvlText w:val="■"/>
      <w:lvlJc w:val="left"/>
      <w:pPr>
        <w:ind w:left="2160" w:hanging="360"/>
      </w:pPr>
    </w:lvl>
    <w:lvl w:ilvl="3" w:tplc="2E945E98">
      <w:start w:val="1"/>
      <w:numFmt w:val="bullet"/>
      <w:lvlText w:val="●"/>
      <w:lvlJc w:val="left"/>
      <w:pPr>
        <w:ind w:left="2880" w:hanging="360"/>
      </w:pPr>
    </w:lvl>
    <w:lvl w:ilvl="4" w:tplc="73562BAE">
      <w:start w:val="1"/>
      <w:numFmt w:val="bullet"/>
      <w:lvlText w:val="○"/>
      <w:lvlJc w:val="left"/>
      <w:pPr>
        <w:ind w:left="3600" w:hanging="360"/>
      </w:pPr>
    </w:lvl>
    <w:lvl w:ilvl="5" w:tplc="1A1CEB20">
      <w:start w:val="1"/>
      <w:numFmt w:val="bullet"/>
      <w:lvlText w:val="■"/>
      <w:lvlJc w:val="left"/>
      <w:pPr>
        <w:ind w:left="4320" w:hanging="360"/>
      </w:pPr>
    </w:lvl>
    <w:lvl w:ilvl="6" w:tplc="EFC29BF2">
      <w:start w:val="1"/>
      <w:numFmt w:val="bullet"/>
      <w:lvlText w:val="●"/>
      <w:lvlJc w:val="left"/>
      <w:pPr>
        <w:ind w:left="5040" w:hanging="360"/>
      </w:pPr>
    </w:lvl>
    <w:lvl w:ilvl="7" w:tplc="1BB44560">
      <w:start w:val="1"/>
      <w:numFmt w:val="bullet"/>
      <w:lvlText w:val="●"/>
      <w:lvlJc w:val="left"/>
      <w:pPr>
        <w:ind w:left="5760" w:hanging="360"/>
      </w:pPr>
    </w:lvl>
    <w:lvl w:ilvl="8" w:tplc="D6C28EBC">
      <w:start w:val="1"/>
      <w:numFmt w:val="bullet"/>
      <w:lvlText w:val="●"/>
      <w:lvlJc w:val="left"/>
      <w:pPr>
        <w:ind w:left="6480" w:hanging="360"/>
      </w:pPr>
    </w:lvl>
  </w:abstractNum>
  <w:abstractNum w:abstractNumId="74" w15:restartNumberingAfterBreak="0">
    <w:nsid w:val="3EDF4415"/>
    <w:multiLevelType w:val="hybridMultilevel"/>
    <w:tmpl w:val="359E7304"/>
    <w:lvl w:ilvl="0" w:tplc="EF4025CE">
      <w:start w:val="1"/>
      <w:numFmt w:val="bullet"/>
      <w:lvlText w:val="•"/>
      <w:lvlJc w:val="left"/>
      <w:pPr>
        <w:tabs>
          <w:tab w:val="num" w:pos="720"/>
        </w:tabs>
        <w:ind w:left="720" w:hanging="360"/>
      </w:pPr>
      <w:rPr>
        <w:rFonts w:ascii="Arial" w:hAnsi="Arial" w:hint="default"/>
      </w:rPr>
    </w:lvl>
    <w:lvl w:ilvl="1" w:tplc="C9E4ECC4" w:tentative="1">
      <w:start w:val="1"/>
      <w:numFmt w:val="bullet"/>
      <w:lvlText w:val="•"/>
      <w:lvlJc w:val="left"/>
      <w:pPr>
        <w:tabs>
          <w:tab w:val="num" w:pos="1440"/>
        </w:tabs>
        <w:ind w:left="1440" w:hanging="360"/>
      </w:pPr>
      <w:rPr>
        <w:rFonts w:ascii="Arial" w:hAnsi="Arial" w:hint="default"/>
      </w:rPr>
    </w:lvl>
    <w:lvl w:ilvl="2" w:tplc="E0F0DE1C" w:tentative="1">
      <w:start w:val="1"/>
      <w:numFmt w:val="bullet"/>
      <w:lvlText w:val="•"/>
      <w:lvlJc w:val="left"/>
      <w:pPr>
        <w:tabs>
          <w:tab w:val="num" w:pos="2160"/>
        </w:tabs>
        <w:ind w:left="2160" w:hanging="360"/>
      </w:pPr>
      <w:rPr>
        <w:rFonts w:ascii="Arial" w:hAnsi="Arial" w:hint="default"/>
      </w:rPr>
    </w:lvl>
    <w:lvl w:ilvl="3" w:tplc="64487B22" w:tentative="1">
      <w:start w:val="1"/>
      <w:numFmt w:val="bullet"/>
      <w:lvlText w:val="•"/>
      <w:lvlJc w:val="left"/>
      <w:pPr>
        <w:tabs>
          <w:tab w:val="num" w:pos="2880"/>
        </w:tabs>
        <w:ind w:left="2880" w:hanging="360"/>
      </w:pPr>
      <w:rPr>
        <w:rFonts w:ascii="Arial" w:hAnsi="Arial" w:hint="default"/>
      </w:rPr>
    </w:lvl>
    <w:lvl w:ilvl="4" w:tplc="4AA4D7B0" w:tentative="1">
      <w:start w:val="1"/>
      <w:numFmt w:val="bullet"/>
      <w:lvlText w:val="•"/>
      <w:lvlJc w:val="left"/>
      <w:pPr>
        <w:tabs>
          <w:tab w:val="num" w:pos="3600"/>
        </w:tabs>
        <w:ind w:left="3600" w:hanging="360"/>
      </w:pPr>
      <w:rPr>
        <w:rFonts w:ascii="Arial" w:hAnsi="Arial" w:hint="default"/>
      </w:rPr>
    </w:lvl>
    <w:lvl w:ilvl="5" w:tplc="30B4AF8C" w:tentative="1">
      <w:start w:val="1"/>
      <w:numFmt w:val="bullet"/>
      <w:lvlText w:val="•"/>
      <w:lvlJc w:val="left"/>
      <w:pPr>
        <w:tabs>
          <w:tab w:val="num" w:pos="4320"/>
        </w:tabs>
        <w:ind w:left="4320" w:hanging="360"/>
      </w:pPr>
      <w:rPr>
        <w:rFonts w:ascii="Arial" w:hAnsi="Arial" w:hint="default"/>
      </w:rPr>
    </w:lvl>
    <w:lvl w:ilvl="6" w:tplc="2E6C5884" w:tentative="1">
      <w:start w:val="1"/>
      <w:numFmt w:val="bullet"/>
      <w:lvlText w:val="•"/>
      <w:lvlJc w:val="left"/>
      <w:pPr>
        <w:tabs>
          <w:tab w:val="num" w:pos="5040"/>
        </w:tabs>
        <w:ind w:left="5040" w:hanging="360"/>
      </w:pPr>
      <w:rPr>
        <w:rFonts w:ascii="Arial" w:hAnsi="Arial" w:hint="default"/>
      </w:rPr>
    </w:lvl>
    <w:lvl w:ilvl="7" w:tplc="53E84660" w:tentative="1">
      <w:start w:val="1"/>
      <w:numFmt w:val="bullet"/>
      <w:lvlText w:val="•"/>
      <w:lvlJc w:val="left"/>
      <w:pPr>
        <w:tabs>
          <w:tab w:val="num" w:pos="5760"/>
        </w:tabs>
        <w:ind w:left="5760" w:hanging="360"/>
      </w:pPr>
      <w:rPr>
        <w:rFonts w:ascii="Arial" w:hAnsi="Arial" w:hint="default"/>
      </w:rPr>
    </w:lvl>
    <w:lvl w:ilvl="8" w:tplc="68B436E8" w:tentative="1">
      <w:start w:val="1"/>
      <w:numFmt w:val="bullet"/>
      <w:lvlText w:val="•"/>
      <w:lvlJc w:val="left"/>
      <w:pPr>
        <w:tabs>
          <w:tab w:val="num" w:pos="6480"/>
        </w:tabs>
        <w:ind w:left="6480" w:hanging="360"/>
      </w:pPr>
      <w:rPr>
        <w:rFonts w:ascii="Arial" w:hAnsi="Arial" w:hint="default"/>
      </w:rPr>
    </w:lvl>
  </w:abstractNum>
  <w:abstractNum w:abstractNumId="75" w15:restartNumberingAfterBreak="0">
    <w:nsid w:val="40F54325"/>
    <w:multiLevelType w:val="hybridMultilevel"/>
    <w:tmpl w:val="4A52A4A0"/>
    <w:lvl w:ilvl="0" w:tplc="2E062AF4">
      <w:start w:val="1"/>
      <w:numFmt w:val="bullet"/>
      <w:lvlText w:val=""/>
      <w:lvlJc w:val="left"/>
      <w:pPr>
        <w:ind w:left="2880" w:hanging="360"/>
      </w:pPr>
      <w:rPr>
        <w:rFonts w:ascii="Symbol" w:hAnsi="Symbol"/>
      </w:rPr>
    </w:lvl>
    <w:lvl w:ilvl="1" w:tplc="3DA4191E">
      <w:start w:val="1"/>
      <w:numFmt w:val="bullet"/>
      <w:lvlText w:val=""/>
      <w:lvlJc w:val="left"/>
      <w:pPr>
        <w:ind w:left="2880" w:hanging="360"/>
      </w:pPr>
      <w:rPr>
        <w:rFonts w:ascii="Symbol" w:hAnsi="Symbol"/>
      </w:rPr>
    </w:lvl>
    <w:lvl w:ilvl="2" w:tplc="DFC63980">
      <w:start w:val="1"/>
      <w:numFmt w:val="bullet"/>
      <w:lvlText w:val=""/>
      <w:lvlJc w:val="left"/>
      <w:pPr>
        <w:ind w:left="2880" w:hanging="360"/>
      </w:pPr>
      <w:rPr>
        <w:rFonts w:ascii="Symbol" w:hAnsi="Symbol"/>
      </w:rPr>
    </w:lvl>
    <w:lvl w:ilvl="3" w:tplc="3580FDC6">
      <w:start w:val="1"/>
      <w:numFmt w:val="bullet"/>
      <w:lvlText w:val=""/>
      <w:lvlJc w:val="left"/>
      <w:pPr>
        <w:ind w:left="2880" w:hanging="360"/>
      </w:pPr>
      <w:rPr>
        <w:rFonts w:ascii="Symbol" w:hAnsi="Symbol"/>
      </w:rPr>
    </w:lvl>
    <w:lvl w:ilvl="4" w:tplc="45C85DEE">
      <w:start w:val="1"/>
      <w:numFmt w:val="bullet"/>
      <w:lvlText w:val=""/>
      <w:lvlJc w:val="left"/>
      <w:pPr>
        <w:ind w:left="2880" w:hanging="360"/>
      </w:pPr>
      <w:rPr>
        <w:rFonts w:ascii="Symbol" w:hAnsi="Symbol"/>
      </w:rPr>
    </w:lvl>
    <w:lvl w:ilvl="5" w:tplc="10D29144">
      <w:start w:val="1"/>
      <w:numFmt w:val="bullet"/>
      <w:lvlText w:val=""/>
      <w:lvlJc w:val="left"/>
      <w:pPr>
        <w:ind w:left="2880" w:hanging="360"/>
      </w:pPr>
      <w:rPr>
        <w:rFonts w:ascii="Symbol" w:hAnsi="Symbol"/>
      </w:rPr>
    </w:lvl>
    <w:lvl w:ilvl="6" w:tplc="66E4CDFA">
      <w:start w:val="1"/>
      <w:numFmt w:val="bullet"/>
      <w:lvlText w:val=""/>
      <w:lvlJc w:val="left"/>
      <w:pPr>
        <w:ind w:left="2880" w:hanging="360"/>
      </w:pPr>
      <w:rPr>
        <w:rFonts w:ascii="Symbol" w:hAnsi="Symbol"/>
      </w:rPr>
    </w:lvl>
    <w:lvl w:ilvl="7" w:tplc="A3B045D6">
      <w:start w:val="1"/>
      <w:numFmt w:val="bullet"/>
      <w:lvlText w:val=""/>
      <w:lvlJc w:val="left"/>
      <w:pPr>
        <w:ind w:left="2880" w:hanging="360"/>
      </w:pPr>
      <w:rPr>
        <w:rFonts w:ascii="Symbol" w:hAnsi="Symbol"/>
      </w:rPr>
    </w:lvl>
    <w:lvl w:ilvl="8" w:tplc="8E6080FC">
      <w:start w:val="1"/>
      <w:numFmt w:val="bullet"/>
      <w:lvlText w:val=""/>
      <w:lvlJc w:val="left"/>
      <w:pPr>
        <w:ind w:left="2880" w:hanging="360"/>
      </w:pPr>
      <w:rPr>
        <w:rFonts w:ascii="Symbol" w:hAnsi="Symbol"/>
      </w:rPr>
    </w:lvl>
  </w:abstractNum>
  <w:abstractNum w:abstractNumId="76" w15:restartNumberingAfterBreak="0">
    <w:nsid w:val="41A17B57"/>
    <w:multiLevelType w:val="hybridMultilevel"/>
    <w:tmpl w:val="D4B835E4"/>
    <w:lvl w:ilvl="0" w:tplc="EF38E694">
      <w:start w:val="1"/>
      <w:numFmt w:val="decimal"/>
      <w:lvlText w:val="%1."/>
      <w:lvlJc w:val="left"/>
      <w:pPr>
        <w:ind w:left="720" w:hanging="360"/>
      </w:pPr>
      <w:rPr>
        <w:rFonts w:hint="default"/>
        <w:b/>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219055F"/>
    <w:multiLevelType w:val="hybridMultilevel"/>
    <w:tmpl w:val="41A837A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42741A66"/>
    <w:multiLevelType w:val="hybridMultilevel"/>
    <w:tmpl w:val="D528F9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2834D13"/>
    <w:multiLevelType w:val="multilevel"/>
    <w:tmpl w:val="4ECE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4541DBC"/>
    <w:multiLevelType w:val="hybridMultilevel"/>
    <w:tmpl w:val="A7FCDC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46F1F4C"/>
    <w:multiLevelType w:val="hybridMultilevel"/>
    <w:tmpl w:val="DBA84E2A"/>
    <w:lvl w:ilvl="0" w:tplc="FFFFFFFF">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44C33BA8"/>
    <w:multiLevelType w:val="hybridMultilevel"/>
    <w:tmpl w:val="A28A15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564430D"/>
    <w:multiLevelType w:val="hybridMultilevel"/>
    <w:tmpl w:val="8AE639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5980D87"/>
    <w:multiLevelType w:val="hybridMultilevel"/>
    <w:tmpl w:val="FD74E420"/>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5CA2732"/>
    <w:multiLevelType w:val="hybridMultilevel"/>
    <w:tmpl w:val="BCBAA450"/>
    <w:lvl w:ilvl="0" w:tplc="DE3EA52A">
      <w:start w:val="3"/>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9FF77FE"/>
    <w:multiLevelType w:val="hybridMultilevel"/>
    <w:tmpl w:val="3C76C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AAE2F33"/>
    <w:multiLevelType w:val="hybridMultilevel"/>
    <w:tmpl w:val="DAF446F8"/>
    <w:lvl w:ilvl="0" w:tplc="099A9974">
      <w:start w:val="1"/>
      <w:numFmt w:val="decimal"/>
      <w:lvlText w:val="%1)"/>
      <w:lvlJc w:val="left"/>
      <w:pPr>
        <w:ind w:left="720" w:hanging="360"/>
      </w:pPr>
    </w:lvl>
    <w:lvl w:ilvl="1" w:tplc="5FE66FC0">
      <w:start w:val="1"/>
      <w:numFmt w:val="decimal"/>
      <w:lvlText w:val="%2)"/>
      <w:lvlJc w:val="left"/>
      <w:pPr>
        <w:ind w:left="720" w:hanging="360"/>
      </w:pPr>
    </w:lvl>
    <w:lvl w:ilvl="2" w:tplc="B5A2A0B8">
      <w:start w:val="1"/>
      <w:numFmt w:val="decimal"/>
      <w:lvlText w:val="%3)"/>
      <w:lvlJc w:val="left"/>
      <w:pPr>
        <w:ind w:left="720" w:hanging="360"/>
      </w:pPr>
    </w:lvl>
    <w:lvl w:ilvl="3" w:tplc="57EC785E">
      <w:start w:val="1"/>
      <w:numFmt w:val="decimal"/>
      <w:lvlText w:val="%4)"/>
      <w:lvlJc w:val="left"/>
      <w:pPr>
        <w:ind w:left="720" w:hanging="360"/>
      </w:pPr>
    </w:lvl>
    <w:lvl w:ilvl="4" w:tplc="3FF0653C">
      <w:start w:val="1"/>
      <w:numFmt w:val="decimal"/>
      <w:lvlText w:val="%5)"/>
      <w:lvlJc w:val="left"/>
      <w:pPr>
        <w:ind w:left="720" w:hanging="360"/>
      </w:pPr>
    </w:lvl>
    <w:lvl w:ilvl="5" w:tplc="3EB8AC8C">
      <w:start w:val="1"/>
      <w:numFmt w:val="decimal"/>
      <w:lvlText w:val="%6)"/>
      <w:lvlJc w:val="left"/>
      <w:pPr>
        <w:ind w:left="720" w:hanging="360"/>
      </w:pPr>
    </w:lvl>
    <w:lvl w:ilvl="6" w:tplc="0C044E0C">
      <w:start w:val="1"/>
      <w:numFmt w:val="decimal"/>
      <w:lvlText w:val="%7)"/>
      <w:lvlJc w:val="left"/>
      <w:pPr>
        <w:ind w:left="720" w:hanging="360"/>
      </w:pPr>
    </w:lvl>
    <w:lvl w:ilvl="7" w:tplc="9DA65232">
      <w:start w:val="1"/>
      <w:numFmt w:val="decimal"/>
      <w:lvlText w:val="%8)"/>
      <w:lvlJc w:val="left"/>
      <w:pPr>
        <w:ind w:left="720" w:hanging="360"/>
      </w:pPr>
    </w:lvl>
    <w:lvl w:ilvl="8" w:tplc="CF408456">
      <w:start w:val="1"/>
      <w:numFmt w:val="decimal"/>
      <w:lvlText w:val="%9)"/>
      <w:lvlJc w:val="left"/>
      <w:pPr>
        <w:ind w:left="720" w:hanging="360"/>
      </w:pPr>
    </w:lvl>
  </w:abstractNum>
  <w:abstractNum w:abstractNumId="88" w15:restartNumberingAfterBreak="0">
    <w:nsid w:val="4AB127B4"/>
    <w:multiLevelType w:val="hybridMultilevel"/>
    <w:tmpl w:val="9CACF1DE"/>
    <w:lvl w:ilvl="0" w:tplc="54049B5E">
      <w:start w:val="1"/>
      <w:numFmt w:val="bullet"/>
      <w:lvlText w:val="•"/>
      <w:lvlJc w:val="left"/>
      <w:pPr>
        <w:ind w:left="504" w:hanging="288"/>
      </w:pPr>
    </w:lvl>
    <w:lvl w:ilvl="1" w:tplc="DB061142">
      <w:numFmt w:val="decimal"/>
      <w:lvlText w:val=""/>
      <w:lvlJc w:val="left"/>
      <w:pPr>
        <w:ind w:left="0" w:firstLine="0"/>
      </w:pPr>
    </w:lvl>
    <w:lvl w:ilvl="2" w:tplc="5220279C">
      <w:numFmt w:val="decimal"/>
      <w:lvlText w:val=""/>
      <w:lvlJc w:val="left"/>
      <w:pPr>
        <w:ind w:left="0" w:firstLine="0"/>
      </w:pPr>
    </w:lvl>
    <w:lvl w:ilvl="3" w:tplc="FA6C99BA">
      <w:numFmt w:val="decimal"/>
      <w:lvlText w:val=""/>
      <w:lvlJc w:val="left"/>
      <w:pPr>
        <w:ind w:left="0" w:firstLine="0"/>
      </w:pPr>
    </w:lvl>
    <w:lvl w:ilvl="4" w:tplc="E0F0F384">
      <w:numFmt w:val="decimal"/>
      <w:lvlText w:val=""/>
      <w:lvlJc w:val="left"/>
      <w:pPr>
        <w:ind w:left="0" w:firstLine="0"/>
      </w:pPr>
    </w:lvl>
    <w:lvl w:ilvl="5" w:tplc="BBF06282">
      <w:numFmt w:val="decimal"/>
      <w:lvlText w:val=""/>
      <w:lvlJc w:val="left"/>
      <w:pPr>
        <w:ind w:left="0" w:firstLine="0"/>
      </w:pPr>
    </w:lvl>
    <w:lvl w:ilvl="6" w:tplc="9CDA02E6">
      <w:numFmt w:val="decimal"/>
      <w:lvlText w:val=""/>
      <w:lvlJc w:val="left"/>
      <w:pPr>
        <w:ind w:left="0" w:firstLine="0"/>
      </w:pPr>
    </w:lvl>
    <w:lvl w:ilvl="7" w:tplc="A76A384C">
      <w:numFmt w:val="decimal"/>
      <w:lvlText w:val=""/>
      <w:lvlJc w:val="left"/>
      <w:pPr>
        <w:ind w:left="0" w:firstLine="0"/>
      </w:pPr>
    </w:lvl>
    <w:lvl w:ilvl="8" w:tplc="193A39BE">
      <w:numFmt w:val="decimal"/>
      <w:lvlText w:val=""/>
      <w:lvlJc w:val="left"/>
      <w:pPr>
        <w:ind w:left="0" w:firstLine="0"/>
      </w:pPr>
    </w:lvl>
  </w:abstractNum>
  <w:abstractNum w:abstractNumId="89" w15:restartNumberingAfterBreak="0">
    <w:nsid w:val="4B9D7F4D"/>
    <w:multiLevelType w:val="hybridMultilevel"/>
    <w:tmpl w:val="2F2C26FA"/>
    <w:lvl w:ilvl="0" w:tplc="04090001">
      <w:start w:val="1"/>
      <w:numFmt w:val="bullet"/>
      <w:lvlText w:val=""/>
      <w:lvlJc w:val="left"/>
      <w:pPr>
        <w:ind w:left="720" w:hanging="180"/>
      </w:pPr>
      <w:rPr>
        <w:rFonts w:ascii="Symbol" w:hAnsi="Symbol" w:hint="default"/>
        <w:sz w:val="22"/>
        <w:szCs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4E502156"/>
    <w:multiLevelType w:val="multilevel"/>
    <w:tmpl w:val="115C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E6419A3"/>
    <w:multiLevelType w:val="hybridMultilevel"/>
    <w:tmpl w:val="56D23F7E"/>
    <w:lvl w:ilvl="0" w:tplc="C4A234A6">
      <w:start w:val="1"/>
      <w:numFmt w:val="bullet"/>
      <w:lvlText w:val=""/>
      <w:lvlJc w:val="left"/>
      <w:pPr>
        <w:ind w:left="720" w:hanging="360"/>
      </w:pPr>
      <w:rPr>
        <w:rFonts w:ascii="Symbol" w:hAnsi="Symbol"/>
      </w:rPr>
    </w:lvl>
    <w:lvl w:ilvl="1" w:tplc="34725838">
      <w:start w:val="1"/>
      <w:numFmt w:val="bullet"/>
      <w:lvlText w:val=""/>
      <w:lvlJc w:val="left"/>
      <w:pPr>
        <w:ind w:left="1440" w:hanging="360"/>
      </w:pPr>
      <w:rPr>
        <w:rFonts w:ascii="Symbol" w:hAnsi="Symbol"/>
      </w:rPr>
    </w:lvl>
    <w:lvl w:ilvl="2" w:tplc="1DEA13BA">
      <w:start w:val="1"/>
      <w:numFmt w:val="bullet"/>
      <w:lvlText w:val=""/>
      <w:lvlJc w:val="left"/>
      <w:pPr>
        <w:ind w:left="720" w:hanging="360"/>
      </w:pPr>
      <w:rPr>
        <w:rFonts w:ascii="Symbol" w:hAnsi="Symbol"/>
      </w:rPr>
    </w:lvl>
    <w:lvl w:ilvl="3" w:tplc="0366B514">
      <w:start w:val="1"/>
      <w:numFmt w:val="bullet"/>
      <w:lvlText w:val=""/>
      <w:lvlJc w:val="left"/>
      <w:pPr>
        <w:ind w:left="720" w:hanging="360"/>
      </w:pPr>
      <w:rPr>
        <w:rFonts w:ascii="Symbol" w:hAnsi="Symbol"/>
      </w:rPr>
    </w:lvl>
    <w:lvl w:ilvl="4" w:tplc="72603228">
      <w:start w:val="1"/>
      <w:numFmt w:val="bullet"/>
      <w:lvlText w:val=""/>
      <w:lvlJc w:val="left"/>
      <w:pPr>
        <w:ind w:left="720" w:hanging="360"/>
      </w:pPr>
      <w:rPr>
        <w:rFonts w:ascii="Symbol" w:hAnsi="Symbol"/>
      </w:rPr>
    </w:lvl>
    <w:lvl w:ilvl="5" w:tplc="9442174A">
      <w:start w:val="1"/>
      <w:numFmt w:val="bullet"/>
      <w:lvlText w:val=""/>
      <w:lvlJc w:val="left"/>
      <w:pPr>
        <w:ind w:left="720" w:hanging="360"/>
      </w:pPr>
      <w:rPr>
        <w:rFonts w:ascii="Symbol" w:hAnsi="Symbol"/>
      </w:rPr>
    </w:lvl>
    <w:lvl w:ilvl="6" w:tplc="E8BAAF94">
      <w:start w:val="1"/>
      <w:numFmt w:val="bullet"/>
      <w:lvlText w:val=""/>
      <w:lvlJc w:val="left"/>
      <w:pPr>
        <w:ind w:left="720" w:hanging="360"/>
      </w:pPr>
      <w:rPr>
        <w:rFonts w:ascii="Symbol" w:hAnsi="Symbol"/>
      </w:rPr>
    </w:lvl>
    <w:lvl w:ilvl="7" w:tplc="3F8668C8">
      <w:start w:val="1"/>
      <w:numFmt w:val="bullet"/>
      <w:lvlText w:val=""/>
      <w:lvlJc w:val="left"/>
      <w:pPr>
        <w:ind w:left="720" w:hanging="360"/>
      </w:pPr>
      <w:rPr>
        <w:rFonts w:ascii="Symbol" w:hAnsi="Symbol"/>
      </w:rPr>
    </w:lvl>
    <w:lvl w:ilvl="8" w:tplc="1F5A2470">
      <w:start w:val="1"/>
      <w:numFmt w:val="bullet"/>
      <w:lvlText w:val=""/>
      <w:lvlJc w:val="left"/>
      <w:pPr>
        <w:ind w:left="720" w:hanging="360"/>
      </w:pPr>
      <w:rPr>
        <w:rFonts w:ascii="Symbol" w:hAnsi="Symbol"/>
      </w:rPr>
    </w:lvl>
  </w:abstractNum>
  <w:abstractNum w:abstractNumId="92" w15:restartNumberingAfterBreak="0">
    <w:nsid w:val="4FC202C4"/>
    <w:multiLevelType w:val="hybridMultilevel"/>
    <w:tmpl w:val="5C326D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FDE306F"/>
    <w:multiLevelType w:val="hybridMultilevel"/>
    <w:tmpl w:val="BEA093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2C62F59"/>
    <w:multiLevelType w:val="hybridMultilevel"/>
    <w:tmpl w:val="583A0A58"/>
    <w:lvl w:ilvl="0" w:tplc="DE3EA52A">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2EF6F4C"/>
    <w:multiLevelType w:val="hybridMultilevel"/>
    <w:tmpl w:val="2C40E824"/>
    <w:lvl w:ilvl="0" w:tplc="DE3EA52A">
      <w:start w:val="3"/>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37E4E55"/>
    <w:multiLevelType w:val="hybridMultilevel"/>
    <w:tmpl w:val="924E2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4A87378"/>
    <w:multiLevelType w:val="multilevel"/>
    <w:tmpl w:val="1F7EA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53B0967"/>
    <w:multiLevelType w:val="hybridMultilevel"/>
    <w:tmpl w:val="FF96D69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56943F78"/>
    <w:multiLevelType w:val="hybridMultilevel"/>
    <w:tmpl w:val="4094E8D0"/>
    <w:lvl w:ilvl="0" w:tplc="E63630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6D8685A"/>
    <w:multiLevelType w:val="hybridMultilevel"/>
    <w:tmpl w:val="44CE1B22"/>
    <w:lvl w:ilvl="0" w:tplc="4DC29DFA">
      <w:start w:val="1"/>
      <w:numFmt w:val="bullet"/>
      <w:lvlText w:val=""/>
      <w:lvlJc w:val="left"/>
      <w:pPr>
        <w:ind w:left="720" w:hanging="360"/>
      </w:pPr>
      <w:rPr>
        <w:rFonts w:ascii="Symbol" w:hAnsi="Symbol"/>
      </w:rPr>
    </w:lvl>
    <w:lvl w:ilvl="1" w:tplc="EC040C00">
      <w:start w:val="1"/>
      <w:numFmt w:val="bullet"/>
      <w:lvlText w:val=""/>
      <w:lvlJc w:val="left"/>
      <w:pPr>
        <w:ind w:left="720" w:hanging="360"/>
      </w:pPr>
      <w:rPr>
        <w:rFonts w:ascii="Symbol" w:hAnsi="Symbol"/>
      </w:rPr>
    </w:lvl>
    <w:lvl w:ilvl="2" w:tplc="C666F148">
      <w:start w:val="1"/>
      <w:numFmt w:val="bullet"/>
      <w:lvlText w:val=""/>
      <w:lvlJc w:val="left"/>
      <w:pPr>
        <w:ind w:left="720" w:hanging="360"/>
      </w:pPr>
      <w:rPr>
        <w:rFonts w:ascii="Symbol" w:hAnsi="Symbol"/>
      </w:rPr>
    </w:lvl>
    <w:lvl w:ilvl="3" w:tplc="F320B528">
      <w:start w:val="1"/>
      <w:numFmt w:val="bullet"/>
      <w:lvlText w:val=""/>
      <w:lvlJc w:val="left"/>
      <w:pPr>
        <w:ind w:left="720" w:hanging="360"/>
      </w:pPr>
      <w:rPr>
        <w:rFonts w:ascii="Symbol" w:hAnsi="Symbol"/>
      </w:rPr>
    </w:lvl>
    <w:lvl w:ilvl="4" w:tplc="4F76F81E">
      <w:start w:val="1"/>
      <w:numFmt w:val="bullet"/>
      <w:lvlText w:val=""/>
      <w:lvlJc w:val="left"/>
      <w:pPr>
        <w:ind w:left="720" w:hanging="360"/>
      </w:pPr>
      <w:rPr>
        <w:rFonts w:ascii="Symbol" w:hAnsi="Symbol"/>
      </w:rPr>
    </w:lvl>
    <w:lvl w:ilvl="5" w:tplc="2980764C">
      <w:start w:val="1"/>
      <w:numFmt w:val="bullet"/>
      <w:lvlText w:val=""/>
      <w:lvlJc w:val="left"/>
      <w:pPr>
        <w:ind w:left="720" w:hanging="360"/>
      </w:pPr>
      <w:rPr>
        <w:rFonts w:ascii="Symbol" w:hAnsi="Symbol"/>
      </w:rPr>
    </w:lvl>
    <w:lvl w:ilvl="6" w:tplc="B6DA60F8">
      <w:start w:val="1"/>
      <w:numFmt w:val="bullet"/>
      <w:lvlText w:val=""/>
      <w:lvlJc w:val="left"/>
      <w:pPr>
        <w:ind w:left="720" w:hanging="360"/>
      </w:pPr>
      <w:rPr>
        <w:rFonts w:ascii="Symbol" w:hAnsi="Symbol"/>
      </w:rPr>
    </w:lvl>
    <w:lvl w:ilvl="7" w:tplc="907A0152">
      <w:start w:val="1"/>
      <w:numFmt w:val="bullet"/>
      <w:lvlText w:val=""/>
      <w:lvlJc w:val="left"/>
      <w:pPr>
        <w:ind w:left="720" w:hanging="360"/>
      </w:pPr>
      <w:rPr>
        <w:rFonts w:ascii="Symbol" w:hAnsi="Symbol"/>
      </w:rPr>
    </w:lvl>
    <w:lvl w:ilvl="8" w:tplc="DE08938A">
      <w:start w:val="1"/>
      <w:numFmt w:val="bullet"/>
      <w:lvlText w:val=""/>
      <w:lvlJc w:val="left"/>
      <w:pPr>
        <w:ind w:left="720" w:hanging="360"/>
      </w:pPr>
      <w:rPr>
        <w:rFonts w:ascii="Symbol" w:hAnsi="Symbol"/>
      </w:rPr>
    </w:lvl>
  </w:abstractNum>
  <w:abstractNum w:abstractNumId="101" w15:restartNumberingAfterBreak="0">
    <w:nsid w:val="57CD0CD3"/>
    <w:multiLevelType w:val="hybridMultilevel"/>
    <w:tmpl w:val="411C2C9C"/>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58296A32"/>
    <w:multiLevelType w:val="hybridMultilevel"/>
    <w:tmpl w:val="D4B835E4"/>
    <w:lvl w:ilvl="0" w:tplc="FFFFFFFF">
      <w:start w:val="1"/>
      <w:numFmt w:val="decimal"/>
      <w:lvlText w:val="%1."/>
      <w:lvlJc w:val="left"/>
      <w:pPr>
        <w:ind w:left="720" w:hanging="360"/>
      </w:pPr>
      <w:rPr>
        <w:rFonts w:hint="default"/>
        <w:b/>
        <w:color w:val="000000" w:themeColor="text1"/>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59014801"/>
    <w:multiLevelType w:val="hybridMultilevel"/>
    <w:tmpl w:val="374238FC"/>
    <w:lvl w:ilvl="0" w:tplc="959027AE">
      <w:start w:val="1"/>
      <w:numFmt w:val="bullet"/>
      <w:lvlText w:val="•"/>
      <w:lvlJc w:val="left"/>
      <w:pPr>
        <w:tabs>
          <w:tab w:val="num" w:pos="720"/>
        </w:tabs>
        <w:ind w:left="720" w:hanging="360"/>
      </w:pPr>
      <w:rPr>
        <w:rFonts w:ascii="Arial" w:hAnsi="Arial" w:hint="default"/>
      </w:rPr>
    </w:lvl>
    <w:lvl w:ilvl="1" w:tplc="A8764BDA" w:tentative="1">
      <w:start w:val="1"/>
      <w:numFmt w:val="bullet"/>
      <w:lvlText w:val="•"/>
      <w:lvlJc w:val="left"/>
      <w:pPr>
        <w:tabs>
          <w:tab w:val="num" w:pos="1440"/>
        </w:tabs>
        <w:ind w:left="1440" w:hanging="360"/>
      </w:pPr>
      <w:rPr>
        <w:rFonts w:ascii="Arial" w:hAnsi="Arial" w:hint="default"/>
      </w:rPr>
    </w:lvl>
    <w:lvl w:ilvl="2" w:tplc="56BCF0F4" w:tentative="1">
      <w:start w:val="1"/>
      <w:numFmt w:val="bullet"/>
      <w:lvlText w:val="•"/>
      <w:lvlJc w:val="left"/>
      <w:pPr>
        <w:tabs>
          <w:tab w:val="num" w:pos="2160"/>
        </w:tabs>
        <w:ind w:left="2160" w:hanging="360"/>
      </w:pPr>
      <w:rPr>
        <w:rFonts w:ascii="Arial" w:hAnsi="Arial" w:hint="default"/>
      </w:rPr>
    </w:lvl>
    <w:lvl w:ilvl="3" w:tplc="48788C74" w:tentative="1">
      <w:start w:val="1"/>
      <w:numFmt w:val="bullet"/>
      <w:lvlText w:val="•"/>
      <w:lvlJc w:val="left"/>
      <w:pPr>
        <w:tabs>
          <w:tab w:val="num" w:pos="2880"/>
        </w:tabs>
        <w:ind w:left="2880" w:hanging="360"/>
      </w:pPr>
      <w:rPr>
        <w:rFonts w:ascii="Arial" w:hAnsi="Arial" w:hint="default"/>
      </w:rPr>
    </w:lvl>
    <w:lvl w:ilvl="4" w:tplc="A1106A76" w:tentative="1">
      <w:start w:val="1"/>
      <w:numFmt w:val="bullet"/>
      <w:lvlText w:val="•"/>
      <w:lvlJc w:val="left"/>
      <w:pPr>
        <w:tabs>
          <w:tab w:val="num" w:pos="3600"/>
        </w:tabs>
        <w:ind w:left="3600" w:hanging="360"/>
      </w:pPr>
      <w:rPr>
        <w:rFonts w:ascii="Arial" w:hAnsi="Arial" w:hint="default"/>
      </w:rPr>
    </w:lvl>
    <w:lvl w:ilvl="5" w:tplc="96662BB4" w:tentative="1">
      <w:start w:val="1"/>
      <w:numFmt w:val="bullet"/>
      <w:lvlText w:val="•"/>
      <w:lvlJc w:val="left"/>
      <w:pPr>
        <w:tabs>
          <w:tab w:val="num" w:pos="4320"/>
        </w:tabs>
        <w:ind w:left="4320" w:hanging="360"/>
      </w:pPr>
      <w:rPr>
        <w:rFonts w:ascii="Arial" w:hAnsi="Arial" w:hint="default"/>
      </w:rPr>
    </w:lvl>
    <w:lvl w:ilvl="6" w:tplc="02223FC4" w:tentative="1">
      <w:start w:val="1"/>
      <w:numFmt w:val="bullet"/>
      <w:lvlText w:val="•"/>
      <w:lvlJc w:val="left"/>
      <w:pPr>
        <w:tabs>
          <w:tab w:val="num" w:pos="5040"/>
        </w:tabs>
        <w:ind w:left="5040" w:hanging="360"/>
      </w:pPr>
      <w:rPr>
        <w:rFonts w:ascii="Arial" w:hAnsi="Arial" w:hint="default"/>
      </w:rPr>
    </w:lvl>
    <w:lvl w:ilvl="7" w:tplc="BE741064" w:tentative="1">
      <w:start w:val="1"/>
      <w:numFmt w:val="bullet"/>
      <w:lvlText w:val="•"/>
      <w:lvlJc w:val="left"/>
      <w:pPr>
        <w:tabs>
          <w:tab w:val="num" w:pos="5760"/>
        </w:tabs>
        <w:ind w:left="5760" w:hanging="360"/>
      </w:pPr>
      <w:rPr>
        <w:rFonts w:ascii="Arial" w:hAnsi="Arial" w:hint="default"/>
      </w:rPr>
    </w:lvl>
    <w:lvl w:ilvl="8" w:tplc="2904F124" w:tentative="1">
      <w:start w:val="1"/>
      <w:numFmt w:val="bullet"/>
      <w:lvlText w:val="•"/>
      <w:lvlJc w:val="left"/>
      <w:pPr>
        <w:tabs>
          <w:tab w:val="num" w:pos="6480"/>
        </w:tabs>
        <w:ind w:left="6480" w:hanging="360"/>
      </w:pPr>
      <w:rPr>
        <w:rFonts w:ascii="Arial" w:hAnsi="Arial" w:hint="default"/>
      </w:rPr>
    </w:lvl>
  </w:abstractNum>
  <w:abstractNum w:abstractNumId="104" w15:restartNumberingAfterBreak="0">
    <w:nsid w:val="5A384E86"/>
    <w:multiLevelType w:val="hybridMultilevel"/>
    <w:tmpl w:val="68560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A646A02"/>
    <w:multiLevelType w:val="hybridMultilevel"/>
    <w:tmpl w:val="FD74E420"/>
    <w:lvl w:ilvl="0" w:tplc="F7D4016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A6D509D"/>
    <w:multiLevelType w:val="hybridMultilevel"/>
    <w:tmpl w:val="9BE8C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B615873"/>
    <w:multiLevelType w:val="hybridMultilevel"/>
    <w:tmpl w:val="F08C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BDA0DBE"/>
    <w:multiLevelType w:val="hybridMultilevel"/>
    <w:tmpl w:val="AE42A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FF866BF"/>
    <w:multiLevelType w:val="hybridMultilevel"/>
    <w:tmpl w:val="E5A0F1C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15:restartNumberingAfterBreak="0">
    <w:nsid w:val="60113466"/>
    <w:multiLevelType w:val="hybridMultilevel"/>
    <w:tmpl w:val="2AE04BDC"/>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60CB21D3"/>
    <w:multiLevelType w:val="hybridMultilevel"/>
    <w:tmpl w:val="FD74E420"/>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61652403"/>
    <w:multiLevelType w:val="multilevel"/>
    <w:tmpl w:val="8E06F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2523234"/>
    <w:multiLevelType w:val="hybridMultilevel"/>
    <w:tmpl w:val="8542D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4DC0644"/>
    <w:multiLevelType w:val="multilevel"/>
    <w:tmpl w:val="2506D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4ED32BD"/>
    <w:multiLevelType w:val="hybridMultilevel"/>
    <w:tmpl w:val="62B8B7CC"/>
    <w:lvl w:ilvl="0" w:tplc="953450A6">
      <w:start w:val="1"/>
      <w:numFmt w:val="bullet"/>
      <w:lvlText w:val=""/>
      <w:lvlJc w:val="left"/>
      <w:pPr>
        <w:ind w:left="2160" w:hanging="360"/>
      </w:pPr>
      <w:rPr>
        <w:rFonts w:ascii="Symbol" w:hAnsi="Symbol"/>
      </w:rPr>
    </w:lvl>
    <w:lvl w:ilvl="1" w:tplc="85B63C72">
      <w:start w:val="1"/>
      <w:numFmt w:val="bullet"/>
      <w:lvlText w:val=""/>
      <w:lvlJc w:val="left"/>
      <w:pPr>
        <w:ind w:left="2160" w:hanging="360"/>
      </w:pPr>
      <w:rPr>
        <w:rFonts w:ascii="Symbol" w:hAnsi="Symbol"/>
      </w:rPr>
    </w:lvl>
    <w:lvl w:ilvl="2" w:tplc="3992DD82">
      <w:start w:val="1"/>
      <w:numFmt w:val="bullet"/>
      <w:lvlText w:val=""/>
      <w:lvlJc w:val="left"/>
      <w:pPr>
        <w:ind w:left="2160" w:hanging="360"/>
      </w:pPr>
      <w:rPr>
        <w:rFonts w:ascii="Symbol" w:hAnsi="Symbol"/>
      </w:rPr>
    </w:lvl>
    <w:lvl w:ilvl="3" w:tplc="4F5E4726">
      <w:start w:val="1"/>
      <w:numFmt w:val="bullet"/>
      <w:lvlText w:val=""/>
      <w:lvlJc w:val="left"/>
      <w:pPr>
        <w:ind w:left="2160" w:hanging="360"/>
      </w:pPr>
      <w:rPr>
        <w:rFonts w:ascii="Symbol" w:hAnsi="Symbol"/>
      </w:rPr>
    </w:lvl>
    <w:lvl w:ilvl="4" w:tplc="EF402080">
      <w:start w:val="1"/>
      <w:numFmt w:val="bullet"/>
      <w:lvlText w:val=""/>
      <w:lvlJc w:val="left"/>
      <w:pPr>
        <w:ind w:left="2160" w:hanging="360"/>
      </w:pPr>
      <w:rPr>
        <w:rFonts w:ascii="Symbol" w:hAnsi="Symbol"/>
      </w:rPr>
    </w:lvl>
    <w:lvl w:ilvl="5" w:tplc="2C483370">
      <w:start w:val="1"/>
      <w:numFmt w:val="bullet"/>
      <w:lvlText w:val=""/>
      <w:lvlJc w:val="left"/>
      <w:pPr>
        <w:ind w:left="2160" w:hanging="360"/>
      </w:pPr>
      <w:rPr>
        <w:rFonts w:ascii="Symbol" w:hAnsi="Symbol"/>
      </w:rPr>
    </w:lvl>
    <w:lvl w:ilvl="6" w:tplc="D5AA960A">
      <w:start w:val="1"/>
      <w:numFmt w:val="bullet"/>
      <w:lvlText w:val=""/>
      <w:lvlJc w:val="left"/>
      <w:pPr>
        <w:ind w:left="2160" w:hanging="360"/>
      </w:pPr>
      <w:rPr>
        <w:rFonts w:ascii="Symbol" w:hAnsi="Symbol"/>
      </w:rPr>
    </w:lvl>
    <w:lvl w:ilvl="7" w:tplc="70665BBA">
      <w:start w:val="1"/>
      <w:numFmt w:val="bullet"/>
      <w:lvlText w:val=""/>
      <w:lvlJc w:val="left"/>
      <w:pPr>
        <w:ind w:left="2160" w:hanging="360"/>
      </w:pPr>
      <w:rPr>
        <w:rFonts w:ascii="Symbol" w:hAnsi="Symbol"/>
      </w:rPr>
    </w:lvl>
    <w:lvl w:ilvl="8" w:tplc="5EB6D276">
      <w:start w:val="1"/>
      <w:numFmt w:val="bullet"/>
      <w:lvlText w:val=""/>
      <w:lvlJc w:val="left"/>
      <w:pPr>
        <w:ind w:left="2160" w:hanging="360"/>
      </w:pPr>
      <w:rPr>
        <w:rFonts w:ascii="Symbol" w:hAnsi="Symbol"/>
      </w:rPr>
    </w:lvl>
  </w:abstractNum>
  <w:abstractNum w:abstractNumId="116" w15:restartNumberingAfterBreak="0">
    <w:nsid w:val="65E71F0A"/>
    <w:multiLevelType w:val="hybridMultilevel"/>
    <w:tmpl w:val="FC04DAFC"/>
    <w:lvl w:ilvl="0" w:tplc="82B82EAE">
      <w:start w:val="1"/>
      <w:numFmt w:val="bullet"/>
      <w:lvlText w:val=""/>
      <w:lvlJc w:val="left"/>
      <w:pPr>
        <w:ind w:left="720" w:hanging="360"/>
      </w:pPr>
      <w:rPr>
        <w:rFonts w:ascii="Symbol" w:hAnsi="Symbol"/>
      </w:rPr>
    </w:lvl>
    <w:lvl w:ilvl="1" w:tplc="453C8B54">
      <w:start w:val="1"/>
      <w:numFmt w:val="bullet"/>
      <w:lvlText w:val=""/>
      <w:lvlJc w:val="left"/>
      <w:pPr>
        <w:ind w:left="720" w:hanging="360"/>
      </w:pPr>
      <w:rPr>
        <w:rFonts w:ascii="Symbol" w:hAnsi="Symbol"/>
      </w:rPr>
    </w:lvl>
    <w:lvl w:ilvl="2" w:tplc="97FAC514">
      <w:start w:val="1"/>
      <w:numFmt w:val="bullet"/>
      <w:lvlText w:val=""/>
      <w:lvlJc w:val="left"/>
      <w:pPr>
        <w:ind w:left="720" w:hanging="360"/>
      </w:pPr>
      <w:rPr>
        <w:rFonts w:ascii="Symbol" w:hAnsi="Symbol"/>
      </w:rPr>
    </w:lvl>
    <w:lvl w:ilvl="3" w:tplc="4B6026F2">
      <w:start w:val="1"/>
      <w:numFmt w:val="bullet"/>
      <w:lvlText w:val=""/>
      <w:lvlJc w:val="left"/>
      <w:pPr>
        <w:ind w:left="720" w:hanging="360"/>
      </w:pPr>
      <w:rPr>
        <w:rFonts w:ascii="Symbol" w:hAnsi="Symbol"/>
      </w:rPr>
    </w:lvl>
    <w:lvl w:ilvl="4" w:tplc="8C60BEF4">
      <w:start w:val="1"/>
      <w:numFmt w:val="bullet"/>
      <w:lvlText w:val=""/>
      <w:lvlJc w:val="left"/>
      <w:pPr>
        <w:ind w:left="720" w:hanging="360"/>
      </w:pPr>
      <w:rPr>
        <w:rFonts w:ascii="Symbol" w:hAnsi="Symbol"/>
      </w:rPr>
    </w:lvl>
    <w:lvl w:ilvl="5" w:tplc="356E3110">
      <w:start w:val="1"/>
      <w:numFmt w:val="bullet"/>
      <w:lvlText w:val=""/>
      <w:lvlJc w:val="left"/>
      <w:pPr>
        <w:ind w:left="720" w:hanging="360"/>
      </w:pPr>
      <w:rPr>
        <w:rFonts w:ascii="Symbol" w:hAnsi="Symbol"/>
      </w:rPr>
    </w:lvl>
    <w:lvl w:ilvl="6" w:tplc="8FB807FA">
      <w:start w:val="1"/>
      <w:numFmt w:val="bullet"/>
      <w:lvlText w:val=""/>
      <w:lvlJc w:val="left"/>
      <w:pPr>
        <w:ind w:left="720" w:hanging="360"/>
      </w:pPr>
      <w:rPr>
        <w:rFonts w:ascii="Symbol" w:hAnsi="Symbol"/>
      </w:rPr>
    </w:lvl>
    <w:lvl w:ilvl="7" w:tplc="4BC43680">
      <w:start w:val="1"/>
      <w:numFmt w:val="bullet"/>
      <w:lvlText w:val=""/>
      <w:lvlJc w:val="left"/>
      <w:pPr>
        <w:ind w:left="720" w:hanging="360"/>
      </w:pPr>
      <w:rPr>
        <w:rFonts w:ascii="Symbol" w:hAnsi="Symbol"/>
      </w:rPr>
    </w:lvl>
    <w:lvl w:ilvl="8" w:tplc="2904FE78">
      <w:start w:val="1"/>
      <w:numFmt w:val="bullet"/>
      <w:lvlText w:val=""/>
      <w:lvlJc w:val="left"/>
      <w:pPr>
        <w:ind w:left="720" w:hanging="360"/>
      </w:pPr>
      <w:rPr>
        <w:rFonts w:ascii="Symbol" w:hAnsi="Symbol"/>
      </w:rPr>
    </w:lvl>
  </w:abstractNum>
  <w:abstractNum w:abstractNumId="117" w15:restartNumberingAfterBreak="0">
    <w:nsid w:val="65EF5DBA"/>
    <w:multiLevelType w:val="hybridMultilevel"/>
    <w:tmpl w:val="C016AA68"/>
    <w:lvl w:ilvl="0" w:tplc="04BE3270">
      <w:start w:val="1"/>
      <w:numFmt w:val="bullet"/>
      <w:lvlText w:val=""/>
      <w:lvlJc w:val="left"/>
      <w:pPr>
        <w:ind w:left="720" w:hanging="360"/>
      </w:pPr>
      <w:rPr>
        <w:rFonts w:ascii="Symbol" w:hAnsi="Symbol"/>
      </w:rPr>
    </w:lvl>
    <w:lvl w:ilvl="1" w:tplc="43B017C4">
      <w:start w:val="1"/>
      <w:numFmt w:val="bullet"/>
      <w:lvlText w:val=""/>
      <w:lvlJc w:val="left"/>
      <w:pPr>
        <w:ind w:left="720" w:hanging="360"/>
      </w:pPr>
      <w:rPr>
        <w:rFonts w:ascii="Symbol" w:hAnsi="Symbol"/>
      </w:rPr>
    </w:lvl>
    <w:lvl w:ilvl="2" w:tplc="049C35F0">
      <w:start w:val="1"/>
      <w:numFmt w:val="bullet"/>
      <w:lvlText w:val=""/>
      <w:lvlJc w:val="left"/>
      <w:pPr>
        <w:ind w:left="720" w:hanging="360"/>
      </w:pPr>
      <w:rPr>
        <w:rFonts w:ascii="Symbol" w:hAnsi="Symbol"/>
      </w:rPr>
    </w:lvl>
    <w:lvl w:ilvl="3" w:tplc="AA20FE9C">
      <w:start w:val="1"/>
      <w:numFmt w:val="bullet"/>
      <w:lvlText w:val=""/>
      <w:lvlJc w:val="left"/>
      <w:pPr>
        <w:ind w:left="720" w:hanging="360"/>
      </w:pPr>
      <w:rPr>
        <w:rFonts w:ascii="Symbol" w:hAnsi="Symbol"/>
      </w:rPr>
    </w:lvl>
    <w:lvl w:ilvl="4" w:tplc="617C4594">
      <w:start w:val="1"/>
      <w:numFmt w:val="bullet"/>
      <w:lvlText w:val=""/>
      <w:lvlJc w:val="left"/>
      <w:pPr>
        <w:ind w:left="720" w:hanging="360"/>
      </w:pPr>
      <w:rPr>
        <w:rFonts w:ascii="Symbol" w:hAnsi="Symbol"/>
      </w:rPr>
    </w:lvl>
    <w:lvl w:ilvl="5" w:tplc="9190C186">
      <w:start w:val="1"/>
      <w:numFmt w:val="bullet"/>
      <w:lvlText w:val=""/>
      <w:lvlJc w:val="left"/>
      <w:pPr>
        <w:ind w:left="720" w:hanging="360"/>
      </w:pPr>
      <w:rPr>
        <w:rFonts w:ascii="Symbol" w:hAnsi="Symbol"/>
      </w:rPr>
    </w:lvl>
    <w:lvl w:ilvl="6" w:tplc="DA128DBA">
      <w:start w:val="1"/>
      <w:numFmt w:val="bullet"/>
      <w:lvlText w:val=""/>
      <w:lvlJc w:val="left"/>
      <w:pPr>
        <w:ind w:left="720" w:hanging="360"/>
      </w:pPr>
      <w:rPr>
        <w:rFonts w:ascii="Symbol" w:hAnsi="Symbol"/>
      </w:rPr>
    </w:lvl>
    <w:lvl w:ilvl="7" w:tplc="B36EEF7C">
      <w:start w:val="1"/>
      <w:numFmt w:val="bullet"/>
      <w:lvlText w:val=""/>
      <w:lvlJc w:val="left"/>
      <w:pPr>
        <w:ind w:left="720" w:hanging="360"/>
      </w:pPr>
      <w:rPr>
        <w:rFonts w:ascii="Symbol" w:hAnsi="Symbol"/>
      </w:rPr>
    </w:lvl>
    <w:lvl w:ilvl="8" w:tplc="22A2FB52">
      <w:start w:val="1"/>
      <w:numFmt w:val="bullet"/>
      <w:lvlText w:val=""/>
      <w:lvlJc w:val="left"/>
      <w:pPr>
        <w:ind w:left="720" w:hanging="360"/>
      </w:pPr>
      <w:rPr>
        <w:rFonts w:ascii="Symbol" w:hAnsi="Symbol"/>
      </w:rPr>
    </w:lvl>
  </w:abstractNum>
  <w:abstractNum w:abstractNumId="118" w15:restartNumberingAfterBreak="0">
    <w:nsid w:val="68041C20"/>
    <w:multiLevelType w:val="hybridMultilevel"/>
    <w:tmpl w:val="278EEBC0"/>
    <w:lvl w:ilvl="0" w:tplc="FFFFFFFF">
      <w:start w:val="1"/>
      <w:numFmt w:val="decimal"/>
      <w:lvlText w:val="%1."/>
      <w:lvlJc w:val="left"/>
      <w:pPr>
        <w:ind w:left="720" w:hanging="360"/>
      </w:pPr>
      <w:rPr>
        <w:rFonts w:hint="default"/>
        <w:b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68D4677A"/>
    <w:multiLevelType w:val="hybridMultilevel"/>
    <w:tmpl w:val="1100A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6AEB0504"/>
    <w:multiLevelType w:val="hybridMultilevel"/>
    <w:tmpl w:val="278EEBC0"/>
    <w:lvl w:ilvl="0" w:tplc="0409000F">
      <w:start w:val="1"/>
      <w:numFmt w:val="decimal"/>
      <w:lvlText w:val="%1."/>
      <w:lvlJc w:val="left"/>
      <w:pPr>
        <w:ind w:left="720" w:hanging="360"/>
      </w:pPr>
      <w:rPr>
        <w:rFonts w:hint="default"/>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B1C4F1A"/>
    <w:multiLevelType w:val="hybridMultilevel"/>
    <w:tmpl w:val="A3C2BF8E"/>
    <w:lvl w:ilvl="0" w:tplc="245A1696">
      <w:start w:val="1"/>
      <w:numFmt w:val="decimal"/>
      <w:lvlText w:val="%1)"/>
      <w:lvlJc w:val="left"/>
      <w:pPr>
        <w:ind w:left="720" w:hanging="360"/>
      </w:pPr>
    </w:lvl>
    <w:lvl w:ilvl="1" w:tplc="BFA83A44">
      <w:start w:val="1"/>
      <w:numFmt w:val="decimal"/>
      <w:lvlText w:val="%2)"/>
      <w:lvlJc w:val="left"/>
      <w:pPr>
        <w:ind w:left="720" w:hanging="360"/>
      </w:pPr>
    </w:lvl>
    <w:lvl w:ilvl="2" w:tplc="99865918">
      <w:start w:val="1"/>
      <w:numFmt w:val="decimal"/>
      <w:lvlText w:val="%3)"/>
      <w:lvlJc w:val="left"/>
      <w:pPr>
        <w:ind w:left="720" w:hanging="360"/>
      </w:pPr>
    </w:lvl>
    <w:lvl w:ilvl="3" w:tplc="7D3A8782">
      <w:start w:val="1"/>
      <w:numFmt w:val="decimal"/>
      <w:lvlText w:val="%4)"/>
      <w:lvlJc w:val="left"/>
      <w:pPr>
        <w:ind w:left="720" w:hanging="360"/>
      </w:pPr>
    </w:lvl>
    <w:lvl w:ilvl="4" w:tplc="E8A23946">
      <w:start w:val="1"/>
      <w:numFmt w:val="decimal"/>
      <w:lvlText w:val="%5)"/>
      <w:lvlJc w:val="left"/>
      <w:pPr>
        <w:ind w:left="720" w:hanging="360"/>
      </w:pPr>
    </w:lvl>
    <w:lvl w:ilvl="5" w:tplc="BEF67578">
      <w:start w:val="1"/>
      <w:numFmt w:val="decimal"/>
      <w:lvlText w:val="%6)"/>
      <w:lvlJc w:val="left"/>
      <w:pPr>
        <w:ind w:left="720" w:hanging="360"/>
      </w:pPr>
    </w:lvl>
    <w:lvl w:ilvl="6" w:tplc="F470111C">
      <w:start w:val="1"/>
      <w:numFmt w:val="decimal"/>
      <w:lvlText w:val="%7)"/>
      <w:lvlJc w:val="left"/>
      <w:pPr>
        <w:ind w:left="720" w:hanging="360"/>
      </w:pPr>
    </w:lvl>
    <w:lvl w:ilvl="7" w:tplc="C5A4B096">
      <w:start w:val="1"/>
      <w:numFmt w:val="decimal"/>
      <w:lvlText w:val="%8)"/>
      <w:lvlJc w:val="left"/>
      <w:pPr>
        <w:ind w:left="720" w:hanging="360"/>
      </w:pPr>
    </w:lvl>
    <w:lvl w:ilvl="8" w:tplc="16FC46AC">
      <w:start w:val="1"/>
      <w:numFmt w:val="decimal"/>
      <w:lvlText w:val="%9)"/>
      <w:lvlJc w:val="left"/>
      <w:pPr>
        <w:ind w:left="720" w:hanging="360"/>
      </w:pPr>
    </w:lvl>
  </w:abstractNum>
  <w:abstractNum w:abstractNumId="122" w15:restartNumberingAfterBreak="0">
    <w:nsid w:val="6B4912F1"/>
    <w:multiLevelType w:val="hybridMultilevel"/>
    <w:tmpl w:val="C4AEE894"/>
    <w:lvl w:ilvl="0" w:tplc="F7A62720">
      <w:start w:val="1"/>
      <w:numFmt w:val="bullet"/>
      <w:lvlText w:val="•"/>
      <w:lvlJc w:val="left"/>
      <w:pPr>
        <w:ind w:left="504" w:hanging="259"/>
      </w:pPr>
    </w:lvl>
    <w:lvl w:ilvl="1" w:tplc="689496F8">
      <w:start w:val="1"/>
      <w:numFmt w:val="bullet"/>
      <w:lvlText w:val="–"/>
      <w:lvlJc w:val="left"/>
      <w:pPr>
        <w:ind w:left="1008" w:hanging="259"/>
      </w:pPr>
    </w:lvl>
    <w:lvl w:ilvl="2" w:tplc="0C7C62BC">
      <w:numFmt w:val="decimal"/>
      <w:lvlText w:val=""/>
      <w:lvlJc w:val="left"/>
    </w:lvl>
    <w:lvl w:ilvl="3" w:tplc="35F2F69E">
      <w:numFmt w:val="decimal"/>
      <w:lvlText w:val=""/>
      <w:lvlJc w:val="left"/>
    </w:lvl>
    <w:lvl w:ilvl="4" w:tplc="A856725E">
      <w:numFmt w:val="decimal"/>
      <w:lvlText w:val=""/>
      <w:lvlJc w:val="left"/>
    </w:lvl>
    <w:lvl w:ilvl="5" w:tplc="040CA1D4">
      <w:numFmt w:val="decimal"/>
      <w:lvlText w:val=""/>
      <w:lvlJc w:val="left"/>
    </w:lvl>
    <w:lvl w:ilvl="6" w:tplc="B58E89EC">
      <w:numFmt w:val="decimal"/>
      <w:lvlText w:val=""/>
      <w:lvlJc w:val="left"/>
    </w:lvl>
    <w:lvl w:ilvl="7" w:tplc="B1ACB554">
      <w:numFmt w:val="decimal"/>
      <w:lvlText w:val=""/>
      <w:lvlJc w:val="left"/>
    </w:lvl>
    <w:lvl w:ilvl="8" w:tplc="E58E130C">
      <w:numFmt w:val="decimal"/>
      <w:lvlText w:val=""/>
      <w:lvlJc w:val="left"/>
    </w:lvl>
  </w:abstractNum>
  <w:abstractNum w:abstractNumId="123" w15:restartNumberingAfterBreak="0">
    <w:nsid w:val="6B917966"/>
    <w:multiLevelType w:val="hybridMultilevel"/>
    <w:tmpl w:val="FD74E420"/>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6C4A1413"/>
    <w:multiLevelType w:val="hybridMultilevel"/>
    <w:tmpl w:val="936C1E78"/>
    <w:lvl w:ilvl="0" w:tplc="35A6B190">
      <w:start w:val="1"/>
      <w:numFmt w:val="bullet"/>
      <w:lvlText w:val=""/>
      <w:lvlJc w:val="left"/>
      <w:pPr>
        <w:ind w:left="720" w:hanging="360"/>
      </w:pPr>
      <w:rPr>
        <w:rFonts w:ascii="Symbol" w:hAnsi="Symbol"/>
      </w:rPr>
    </w:lvl>
    <w:lvl w:ilvl="1" w:tplc="5A0E27C2">
      <w:start w:val="1"/>
      <w:numFmt w:val="bullet"/>
      <w:lvlText w:val=""/>
      <w:lvlJc w:val="left"/>
      <w:pPr>
        <w:ind w:left="720" w:hanging="360"/>
      </w:pPr>
      <w:rPr>
        <w:rFonts w:ascii="Symbol" w:hAnsi="Symbol"/>
      </w:rPr>
    </w:lvl>
    <w:lvl w:ilvl="2" w:tplc="9A54EEBA">
      <w:start w:val="1"/>
      <w:numFmt w:val="bullet"/>
      <w:lvlText w:val=""/>
      <w:lvlJc w:val="left"/>
      <w:pPr>
        <w:ind w:left="720" w:hanging="360"/>
      </w:pPr>
      <w:rPr>
        <w:rFonts w:ascii="Symbol" w:hAnsi="Symbol"/>
      </w:rPr>
    </w:lvl>
    <w:lvl w:ilvl="3" w:tplc="191EFA14">
      <w:start w:val="1"/>
      <w:numFmt w:val="bullet"/>
      <w:lvlText w:val=""/>
      <w:lvlJc w:val="left"/>
      <w:pPr>
        <w:ind w:left="720" w:hanging="360"/>
      </w:pPr>
      <w:rPr>
        <w:rFonts w:ascii="Symbol" w:hAnsi="Symbol"/>
      </w:rPr>
    </w:lvl>
    <w:lvl w:ilvl="4" w:tplc="71B81E76">
      <w:start w:val="1"/>
      <w:numFmt w:val="bullet"/>
      <w:lvlText w:val=""/>
      <w:lvlJc w:val="left"/>
      <w:pPr>
        <w:ind w:left="720" w:hanging="360"/>
      </w:pPr>
      <w:rPr>
        <w:rFonts w:ascii="Symbol" w:hAnsi="Symbol"/>
      </w:rPr>
    </w:lvl>
    <w:lvl w:ilvl="5" w:tplc="D52817AC">
      <w:start w:val="1"/>
      <w:numFmt w:val="bullet"/>
      <w:lvlText w:val=""/>
      <w:lvlJc w:val="left"/>
      <w:pPr>
        <w:ind w:left="720" w:hanging="360"/>
      </w:pPr>
      <w:rPr>
        <w:rFonts w:ascii="Symbol" w:hAnsi="Symbol"/>
      </w:rPr>
    </w:lvl>
    <w:lvl w:ilvl="6" w:tplc="86BC6590">
      <w:start w:val="1"/>
      <w:numFmt w:val="bullet"/>
      <w:lvlText w:val=""/>
      <w:lvlJc w:val="left"/>
      <w:pPr>
        <w:ind w:left="720" w:hanging="360"/>
      </w:pPr>
      <w:rPr>
        <w:rFonts w:ascii="Symbol" w:hAnsi="Symbol"/>
      </w:rPr>
    </w:lvl>
    <w:lvl w:ilvl="7" w:tplc="B05E7D32">
      <w:start w:val="1"/>
      <w:numFmt w:val="bullet"/>
      <w:lvlText w:val=""/>
      <w:lvlJc w:val="left"/>
      <w:pPr>
        <w:ind w:left="720" w:hanging="360"/>
      </w:pPr>
      <w:rPr>
        <w:rFonts w:ascii="Symbol" w:hAnsi="Symbol"/>
      </w:rPr>
    </w:lvl>
    <w:lvl w:ilvl="8" w:tplc="8ED87FA0">
      <w:start w:val="1"/>
      <w:numFmt w:val="bullet"/>
      <w:lvlText w:val=""/>
      <w:lvlJc w:val="left"/>
      <w:pPr>
        <w:ind w:left="720" w:hanging="360"/>
      </w:pPr>
      <w:rPr>
        <w:rFonts w:ascii="Symbol" w:hAnsi="Symbol"/>
      </w:rPr>
    </w:lvl>
  </w:abstractNum>
  <w:abstractNum w:abstractNumId="125" w15:restartNumberingAfterBreak="0">
    <w:nsid w:val="6CEE4787"/>
    <w:multiLevelType w:val="hybridMultilevel"/>
    <w:tmpl w:val="7A42A49E"/>
    <w:lvl w:ilvl="0" w:tplc="BA6EC6CA">
      <w:start w:val="1"/>
      <w:numFmt w:val="bullet"/>
      <w:lvlText w:val=""/>
      <w:lvlJc w:val="left"/>
      <w:pPr>
        <w:ind w:left="1440" w:hanging="360"/>
      </w:pPr>
      <w:rPr>
        <w:rFonts w:ascii="Symbol" w:hAnsi="Symbol"/>
      </w:rPr>
    </w:lvl>
    <w:lvl w:ilvl="1" w:tplc="A866F9AE">
      <w:start w:val="1"/>
      <w:numFmt w:val="bullet"/>
      <w:lvlText w:val=""/>
      <w:lvlJc w:val="left"/>
      <w:pPr>
        <w:ind w:left="1440" w:hanging="360"/>
      </w:pPr>
      <w:rPr>
        <w:rFonts w:ascii="Symbol" w:hAnsi="Symbol"/>
      </w:rPr>
    </w:lvl>
    <w:lvl w:ilvl="2" w:tplc="126AC778">
      <w:start w:val="1"/>
      <w:numFmt w:val="bullet"/>
      <w:lvlText w:val=""/>
      <w:lvlJc w:val="left"/>
      <w:pPr>
        <w:ind w:left="1440" w:hanging="360"/>
      </w:pPr>
      <w:rPr>
        <w:rFonts w:ascii="Symbol" w:hAnsi="Symbol"/>
      </w:rPr>
    </w:lvl>
    <w:lvl w:ilvl="3" w:tplc="FEAC9E1A">
      <w:start w:val="1"/>
      <w:numFmt w:val="bullet"/>
      <w:lvlText w:val=""/>
      <w:lvlJc w:val="left"/>
      <w:pPr>
        <w:ind w:left="1440" w:hanging="360"/>
      </w:pPr>
      <w:rPr>
        <w:rFonts w:ascii="Symbol" w:hAnsi="Symbol"/>
      </w:rPr>
    </w:lvl>
    <w:lvl w:ilvl="4" w:tplc="F81257EC">
      <w:start w:val="1"/>
      <w:numFmt w:val="bullet"/>
      <w:lvlText w:val=""/>
      <w:lvlJc w:val="left"/>
      <w:pPr>
        <w:ind w:left="1440" w:hanging="360"/>
      </w:pPr>
      <w:rPr>
        <w:rFonts w:ascii="Symbol" w:hAnsi="Symbol"/>
      </w:rPr>
    </w:lvl>
    <w:lvl w:ilvl="5" w:tplc="5AE8CD2A">
      <w:start w:val="1"/>
      <w:numFmt w:val="bullet"/>
      <w:lvlText w:val=""/>
      <w:lvlJc w:val="left"/>
      <w:pPr>
        <w:ind w:left="1440" w:hanging="360"/>
      </w:pPr>
      <w:rPr>
        <w:rFonts w:ascii="Symbol" w:hAnsi="Symbol"/>
      </w:rPr>
    </w:lvl>
    <w:lvl w:ilvl="6" w:tplc="49D26718">
      <w:start w:val="1"/>
      <w:numFmt w:val="bullet"/>
      <w:lvlText w:val=""/>
      <w:lvlJc w:val="left"/>
      <w:pPr>
        <w:ind w:left="1440" w:hanging="360"/>
      </w:pPr>
      <w:rPr>
        <w:rFonts w:ascii="Symbol" w:hAnsi="Symbol"/>
      </w:rPr>
    </w:lvl>
    <w:lvl w:ilvl="7" w:tplc="67F4701C">
      <w:start w:val="1"/>
      <w:numFmt w:val="bullet"/>
      <w:lvlText w:val=""/>
      <w:lvlJc w:val="left"/>
      <w:pPr>
        <w:ind w:left="1440" w:hanging="360"/>
      </w:pPr>
      <w:rPr>
        <w:rFonts w:ascii="Symbol" w:hAnsi="Symbol"/>
      </w:rPr>
    </w:lvl>
    <w:lvl w:ilvl="8" w:tplc="74E8474E">
      <w:start w:val="1"/>
      <w:numFmt w:val="bullet"/>
      <w:lvlText w:val=""/>
      <w:lvlJc w:val="left"/>
      <w:pPr>
        <w:ind w:left="1440" w:hanging="360"/>
      </w:pPr>
      <w:rPr>
        <w:rFonts w:ascii="Symbol" w:hAnsi="Symbol"/>
      </w:rPr>
    </w:lvl>
  </w:abstractNum>
  <w:abstractNum w:abstractNumId="126" w15:restartNumberingAfterBreak="0">
    <w:nsid w:val="6D397709"/>
    <w:multiLevelType w:val="hybridMultilevel"/>
    <w:tmpl w:val="ED660A3E"/>
    <w:lvl w:ilvl="0" w:tplc="6A4C5868">
      <w:start w:val="1"/>
      <w:numFmt w:val="bullet"/>
      <w:lvlText w:val=""/>
      <w:lvlJc w:val="left"/>
      <w:pPr>
        <w:ind w:left="720" w:hanging="360"/>
      </w:pPr>
      <w:rPr>
        <w:rFonts w:ascii="Symbol" w:hAnsi="Symbol"/>
      </w:rPr>
    </w:lvl>
    <w:lvl w:ilvl="1" w:tplc="0E064A3E">
      <w:start w:val="1"/>
      <w:numFmt w:val="bullet"/>
      <w:lvlText w:val=""/>
      <w:lvlJc w:val="left"/>
      <w:pPr>
        <w:ind w:left="720" w:hanging="360"/>
      </w:pPr>
      <w:rPr>
        <w:rFonts w:ascii="Symbol" w:hAnsi="Symbol"/>
      </w:rPr>
    </w:lvl>
    <w:lvl w:ilvl="2" w:tplc="B92C6F80">
      <w:start w:val="1"/>
      <w:numFmt w:val="bullet"/>
      <w:lvlText w:val=""/>
      <w:lvlJc w:val="left"/>
      <w:pPr>
        <w:ind w:left="720" w:hanging="360"/>
      </w:pPr>
      <w:rPr>
        <w:rFonts w:ascii="Symbol" w:hAnsi="Symbol"/>
      </w:rPr>
    </w:lvl>
    <w:lvl w:ilvl="3" w:tplc="0BD409EE">
      <w:start w:val="1"/>
      <w:numFmt w:val="bullet"/>
      <w:lvlText w:val=""/>
      <w:lvlJc w:val="left"/>
      <w:pPr>
        <w:ind w:left="720" w:hanging="360"/>
      </w:pPr>
      <w:rPr>
        <w:rFonts w:ascii="Symbol" w:hAnsi="Symbol"/>
      </w:rPr>
    </w:lvl>
    <w:lvl w:ilvl="4" w:tplc="4FE0D080">
      <w:start w:val="1"/>
      <w:numFmt w:val="bullet"/>
      <w:lvlText w:val=""/>
      <w:lvlJc w:val="left"/>
      <w:pPr>
        <w:ind w:left="720" w:hanging="360"/>
      </w:pPr>
      <w:rPr>
        <w:rFonts w:ascii="Symbol" w:hAnsi="Symbol"/>
      </w:rPr>
    </w:lvl>
    <w:lvl w:ilvl="5" w:tplc="7604185A">
      <w:start w:val="1"/>
      <w:numFmt w:val="bullet"/>
      <w:lvlText w:val=""/>
      <w:lvlJc w:val="left"/>
      <w:pPr>
        <w:ind w:left="720" w:hanging="360"/>
      </w:pPr>
      <w:rPr>
        <w:rFonts w:ascii="Symbol" w:hAnsi="Symbol"/>
      </w:rPr>
    </w:lvl>
    <w:lvl w:ilvl="6" w:tplc="ABD80D38">
      <w:start w:val="1"/>
      <w:numFmt w:val="bullet"/>
      <w:lvlText w:val=""/>
      <w:lvlJc w:val="left"/>
      <w:pPr>
        <w:ind w:left="720" w:hanging="360"/>
      </w:pPr>
      <w:rPr>
        <w:rFonts w:ascii="Symbol" w:hAnsi="Symbol"/>
      </w:rPr>
    </w:lvl>
    <w:lvl w:ilvl="7" w:tplc="76AAE606">
      <w:start w:val="1"/>
      <w:numFmt w:val="bullet"/>
      <w:lvlText w:val=""/>
      <w:lvlJc w:val="left"/>
      <w:pPr>
        <w:ind w:left="720" w:hanging="360"/>
      </w:pPr>
      <w:rPr>
        <w:rFonts w:ascii="Symbol" w:hAnsi="Symbol"/>
      </w:rPr>
    </w:lvl>
    <w:lvl w:ilvl="8" w:tplc="FE189AB4">
      <w:start w:val="1"/>
      <w:numFmt w:val="bullet"/>
      <w:lvlText w:val=""/>
      <w:lvlJc w:val="left"/>
      <w:pPr>
        <w:ind w:left="720" w:hanging="360"/>
      </w:pPr>
      <w:rPr>
        <w:rFonts w:ascii="Symbol" w:hAnsi="Symbol"/>
      </w:rPr>
    </w:lvl>
  </w:abstractNum>
  <w:abstractNum w:abstractNumId="127" w15:restartNumberingAfterBreak="0">
    <w:nsid w:val="6E7C60F2"/>
    <w:multiLevelType w:val="hybridMultilevel"/>
    <w:tmpl w:val="80FA83B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E835766"/>
    <w:multiLevelType w:val="multilevel"/>
    <w:tmpl w:val="667C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EC24A67"/>
    <w:multiLevelType w:val="hybridMultilevel"/>
    <w:tmpl w:val="36A6C9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F3F14BC"/>
    <w:multiLevelType w:val="hybridMultilevel"/>
    <w:tmpl w:val="FD74E420"/>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6F6A789D"/>
    <w:multiLevelType w:val="hybridMultilevel"/>
    <w:tmpl w:val="E8C69436"/>
    <w:lvl w:ilvl="0" w:tplc="5E02DA46">
      <w:start w:val="1"/>
      <w:numFmt w:val="bullet"/>
      <w:lvlText w:val=""/>
      <w:lvlJc w:val="left"/>
      <w:pPr>
        <w:ind w:left="1440" w:hanging="360"/>
      </w:pPr>
      <w:rPr>
        <w:rFonts w:ascii="Symbol" w:hAnsi="Symbol"/>
      </w:rPr>
    </w:lvl>
    <w:lvl w:ilvl="1" w:tplc="516897C2">
      <w:start w:val="1"/>
      <w:numFmt w:val="bullet"/>
      <w:lvlText w:val=""/>
      <w:lvlJc w:val="left"/>
      <w:pPr>
        <w:ind w:left="1440" w:hanging="360"/>
      </w:pPr>
      <w:rPr>
        <w:rFonts w:ascii="Symbol" w:hAnsi="Symbol"/>
      </w:rPr>
    </w:lvl>
    <w:lvl w:ilvl="2" w:tplc="6B5892A6">
      <w:start w:val="1"/>
      <w:numFmt w:val="bullet"/>
      <w:lvlText w:val=""/>
      <w:lvlJc w:val="left"/>
      <w:pPr>
        <w:ind w:left="1440" w:hanging="360"/>
      </w:pPr>
      <w:rPr>
        <w:rFonts w:ascii="Symbol" w:hAnsi="Symbol"/>
      </w:rPr>
    </w:lvl>
    <w:lvl w:ilvl="3" w:tplc="6D18B4DA">
      <w:start w:val="1"/>
      <w:numFmt w:val="bullet"/>
      <w:lvlText w:val=""/>
      <w:lvlJc w:val="left"/>
      <w:pPr>
        <w:ind w:left="1440" w:hanging="360"/>
      </w:pPr>
      <w:rPr>
        <w:rFonts w:ascii="Symbol" w:hAnsi="Symbol"/>
      </w:rPr>
    </w:lvl>
    <w:lvl w:ilvl="4" w:tplc="AF8ABCF8">
      <w:start w:val="1"/>
      <w:numFmt w:val="bullet"/>
      <w:lvlText w:val=""/>
      <w:lvlJc w:val="left"/>
      <w:pPr>
        <w:ind w:left="1440" w:hanging="360"/>
      </w:pPr>
      <w:rPr>
        <w:rFonts w:ascii="Symbol" w:hAnsi="Symbol"/>
      </w:rPr>
    </w:lvl>
    <w:lvl w:ilvl="5" w:tplc="EE12DCF6">
      <w:start w:val="1"/>
      <w:numFmt w:val="bullet"/>
      <w:lvlText w:val=""/>
      <w:lvlJc w:val="left"/>
      <w:pPr>
        <w:ind w:left="1440" w:hanging="360"/>
      </w:pPr>
      <w:rPr>
        <w:rFonts w:ascii="Symbol" w:hAnsi="Symbol"/>
      </w:rPr>
    </w:lvl>
    <w:lvl w:ilvl="6" w:tplc="76A87F8C">
      <w:start w:val="1"/>
      <w:numFmt w:val="bullet"/>
      <w:lvlText w:val=""/>
      <w:lvlJc w:val="left"/>
      <w:pPr>
        <w:ind w:left="1440" w:hanging="360"/>
      </w:pPr>
      <w:rPr>
        <w:rFonts w:ascii="Symbol" w:hAnsi="Symbol"/>
      </w:rPr>
    </w:lvl>
    <w:lvl w:ilvl="7" w:tplc="C13CD1A0">
      <w:start w:val="1"/>
      <w:numFmt w:val="bullet"/>
      <w:lvlText w:val=""/>
      <w:lvlJc w:val="left"/>
      <w:pPr>
        <w:ind w:left="1440" w:hanging="360"/>
      </w:pPr>
      <w:rPr>
        <w:rFonts w:ascii="Symbol" w:hAnsi="Symbol"/>
      </w:rPr>
    </w:lvl>
    <w:lvl w:ilvl="8" w:tplc="8472A478">
      <w:start w:val="1"/>
      <w:numFmt w:val="bullet"/>
      <w:lvlText w:val=""/>
      <w:lvlJc w:val="left"/>
      <w:pPr>
        <w:ind w:left="1440" w:hanging="360"/>
      </w:pPr>
      <w:rPr>
        <w:rFonts w:ascii="Symbol" w:hAnsi="Symbol"/>
      </w:rPr>
    </w:lvl>
  </w:abstractNum>
  <w:abstractNum w:abstractNumId="132" w15:restartNumberingAfterBreak="0">
    <w:nsid w:val="7257502E"/>
    <w:multiLevelType w:val="hybridMultilevel"/>
    <w:tmpl w:val="974A7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73303E0E"/>
    <w:multiLevelType w:val="multilevel"/>
    <w:tmpl w:val="9B72EBE6"/>
    <w:lvl w:ilvl="0">
      <w:start w:val="6"/>
      <w:numFmt w:val="decimal"/>
      <w:lvlText w:val="%1"/>
      <w:lvlJc w:val="left"/>
      <w:pPr>
        <w:ind w:left="360" w:hanging="360"/>
      </w:pPr>
      <w:rPr>
        <w:rFonts w:eastAsia="Georgia" w:hint="default"/>
        <w:b/>
        <w:color w:val="1F3A5F"/>
      </w:rPr>
    </w:lvl>
    <w:lvl w:ilvl="1">
      <w:start w:val="1"/>
      <w:numFmt w:val="decimal"/>
      <w:lvlText w:val="%1.%2"/>
      <w:lvlJc w:val="left"/>
      <w:pPr>
        <w:ind w:left="360" w:hanging="360"/>
      </w:pPr>
      <w:rPr>
        <w:rFonts w:eastAsia="Georgia" w:hint="default"/>
        <w:b/>
        <w:color w:val="1F3A5F"/>
      </w:rPr>
    </w:lvl>
    <w:lvl w:ilvl="2">
      <w:start w:val="1"/>
      <w:numFmt w:val="decimal"/>
      <w:lvlText w:val="%1.%2.%3"/>
      <w:lvlJc w:val="left"/>
      <w:pPr>
        <w:ind w:left="720" w:hanging="720"/>
      </w:pPr>
      <w:rPr>
        <w:rFonts w:eastAsia="Georgia" w:hint="default"/>
        <w:b/>
        <w:color w:val="1F3A5F"/>
      </w:rPr>
    </w:lvl>
    <w:lvl w:ilvl="3">
      <w:start w:val="1"/>
      <w:numFmt w:val="decimal"/>
      <w:lvlText w:val="%1.%2.%3.%4"/>
      <w:lvlJc w:val="left"/>
      <w:pPr>
        <w:ind w:left="720" w:hanging="720"/>
      </w:pPr>
      <w:rPr>
        <w:rFonts w:eastAsia="Georgia" w:hint="default"/>
        <w:b/>
        <w:color w:val="1F3A5F"/>
      </w:rPr>
    </w:lvl>
    <w:lvl w:ilvl="4">
      <w:start w:val="1"/>
      <w:numFmt w:val="decimal"/>
      <w:lvlText w:val="%1.%2.%3.%4.%5"/>
      <w:lvlJc w:val="left"/>
      <w:pPr>
        <w:ind w:left="1080" w:hanging="1080"/>
      </w:pPr>
      <w:rPr>
        <w:rFonts w:eastAsia="Georgia" w:hint="default"/>
        <w:b/>
        <w:color w:val="1F3A5F"/>
      </w:rPr>
    </w:lvl>
    <w:lvl w:ilvl="5">
      <w:start w:val="1"/>
      <w:numFmt w:val="decimal"/>
      <w:lvlText w:val="%1.%2.%3.%4.%5.%6"/>
      <w:lvlJc w:val="left"/>
      <w:pPr>
        <w:ind w:left="1080" w:hanging="1080"/>
      </w:pPr>
      <w:rPr>
        <w:rFonts w:eastAsia="Georgia" w:hint="default"/>
        <w:b/>
        <w:color w:val="1F3A5F"/>
      </w:rPr>
    </w:lvl>
    <w:lvl w:ilvl="6">
      <w:start w:val="1"/>
      <w:numFmt w:val="decimal"/>
      <w:lvlText w:val="%1.%2.%3.%4.%5.%6.%7"/>
      <w:lvlJc w:val="left"/>
      <w:pPr>
        <w:ind w:left="1440" w:hanging="1440"/>
      </w:pPr>
      <w:rPr>
        <w:rFonts w:eastAsia="Georgia" w:hint="default"/>
        <w:b/>
        <w:color w:val="1F3A5F"/>
      </w:rPr>
    </w:lvl>
    <w:lvl w:ilvl="7">
      <w:start w:val="1"/>
      <w:numFmt w:val="decimal"/>
      <w:lvlText w:val="%1.%2.%3.%4.%5.%6.%7.%8"/>
      <w:lvlJc w:val="left"/>
      <w:pPr>
        <w:ind w:left="1440" w:hanging="1440"/>
      </w:pPr>
      <w:rPr>
        <w:rFonts w:eastAsia="Georgia" w:hint="default"/>
        <w:b/>
        <w:color w:val="1F3A5F"/>
      </w:rPr>
    </w:lvl>
    <w:lvl w:ilvl="8">
      <w:start w:val="1"/>
      <w:numFmt w:val="decimal"/>
      <w:lvlText w:val="%1.%2.%3.%4.%5.%6.%7.%8.%9"/>
      <w:lvlJc w:val="left"/>
      <w:pPr>
        <w:ind w:left="1440" w:hanging="1440"/>
      </w:pPr>
      <w:rPr>
        <w:rFonts w:eastAsia="Georgia" w:hint="default"/>
        <w:b/>
        <w:color w:val="1F3A5F"/>
      </w:rPr>
    </w:lvl>
  </w:abstractNum>
  <w:abstractNum w:abstractNumId="134" w15:restartNumberingAfterBreak="0">
    <w:nsid w:val="762A6EC4"/>
    <w:multiLevelType w:val="hybridMultilevel"/>
    <w:tmpl w:val="37A63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6933CB1"/>
    <w:multiLevelType w:val="hybridMultilevel"/>
    <w:tmpl w:val="41A83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76A56E01"/>
    <w:multiLevelType w:val="hybridMultilevel"/>
    <w:tmpl w:val="C83AD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6F851C8"/>
    <w:multiLevelType w:val="hybridMultilevel"/>
    <w:tmpl w:val="E50E036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7007E6E"/>
    <w:multiLevelType w:val="hybridMultilevel"/>
    <w:tmpl w:val="1A3AA72E"/>
    <w:lvl w:ilvl="0" w:tplc="32181B6A">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9812016"/>
    <w:multiLevelType w:val="hybridMultilevel"/>
    <w:tmpl w:val="40489EC8"/>
    <w:lvl w:ilvl="0" w:tplc="DEE6DA1A">
      <w:start w:val="1"/>
      <w:numFmt w:val="bullet"/>
      <w:lvlText w:val=""/>
      <w:lvlJc w:val="left"/>
      <w:pPr>
        <w:ind w:left="1020" w:hanging="360"/>
      </w:pPr>
      <w:rPr>
        <w:rFonts w:ascii="Symbol" w:hAnsi="Symbol"/>
      </w:rPr>
    </w:lvl>
    <w:lvl w:ilvl="1" w:tplc="CB92492C">
      <w:start w:val="1"/>
      <w:numFmt w:val="bullet"/>
      <w:lvlText w:val=""/>
      <w:lvlJc w:val="left"/>
      <w:pPr>
        <w:ind w:left="1020" w:hanging="360"/>
      </w:pPr>
      <w:rPr>
        <w:rFonts w:ascii="Symbol" w:hAnsi="Symbol"/>
      </w:rPr>
    </w:lvl>
    <w:lvl w:ilvl="2" w:tplc="790EA086">
      <w:start w:val="1"/>
      <w:numFmt w:val="bullet"/>
      <w:lvlText w:val=""/>
      <w:lvlJc w:val="left"/>
      <w:pPr>
        <w:ind w:left="1020" w:hanging="360"/>
      </w:pPr>
      <w:rPr>
        <w:rFonts w:ascii="Symbol" w:hAnsi="Symbol"/>
      </w:rPr>
    </w:lvl>
    <w:lvl w:ilvl="3" w:tplc="A9F24AAA">
      <w:start w:val="1"/>
      <w:numFmt w:val="bullet"/>
      <w:lvlText w:val=""/>
      <w:lvlJc w:val="left"/>
      <w:pPr>
        <w:ind w:left="1020" w:hanging="360"/>
      </w:pPr>
      <w:rPr>
        <w:rFonts w:ascii="Symbol" w:hAnsi="Symbol"/>
      </w:rPr>
    </w:lvl>
    <w:lvl w:ilvl="4" w:tplc="D6725C66">
      <w:start w:val="1"/>
      <w:numFmt w:val="bullet"/>
      <w:lvlText w:val=""/>
      <w:lvlJc w:val="left"/>
      <w:pPr>
        <w:ind w:left="1020" w:hanging="360"/>
      </w:pPr>
      <w:rPr>
        <w:rFonts w:ascii="Symbol" w:hAnsi="Symbol"/>
      </w:rPr>
    </w:lvl>
    <w:lvl w:ilvl="5" w:tplc="538692D8">
      <w:start w:val="1"/>
      <w:numFmt w:val="bullet"/>
      <w:lvlText w:val=""/>
      <w:lvlJc w:val="left"/>
      <w:pPr>
        <w:ind w:left="1020" w:hanging="360"/>
      </w:pPr>
      <w:rPr>
        <w:rFonts w:ascii="Symbol" w:hAnsi="Symbol"/>
      </w:rPr>
    </w:lvl>
    <w:lvl w:ilvl="6" w:tplc="EEEEDE2E">
      <w:start w:val="1"/>
      <w:numFmt w:val="bullet"/>
      <w:lvlText w:val=""/>
      <w:lvlJc w:val="left"/>
      <w:pPr>
        <w:ind w:left="1020" w:hanging="360"/>
      </w:pPr>
      <w:rPr>
        <w:rFonts w:ascii="Symbol" w:hAnsi="Symbol"/>
      </w:rPr>
    </w:lvl>
    <w:lvl w:ilvl="7" w:tplc="31E8F89A">
      <w:start w:val="1"/>
      <w:numFmt w:val="bullet"/>
      <w:lvlText w:val=""/>
      <w:lvlJc w:val="left"/>
      <w:pPr>
        <w:ind w:left="1020" w:hanging="360"/>
      </w:pPr>
      <w:rPr>
        <w:rFonts w:ascii="Symbol" w:hAnsi="Symbol"/>
      </w:rPr>
    </w:lvl>
    <w:lvl w:ilvl="8" w:tplc="AE941634">
      <w:start w:val="1"/>
      <w:numFmt w:val="bullet"/>
      <w:lvlText w:val=""/>
      <w:lvlJc w:val="left"/>
      <w:pPr>
        <w:ind w:left="1020" w:hanging="360"/>
      </w:pPr>
      <w:rPr>
        <w:rFonts w:ascii="Symbol" w:hAnsi="Symbol"/>
      </w:rPr>
    </w:lvl>
  </w:abstractNum>
  <w:abstractNum w:abstractNumId="140" w15:restartNumberingAfterBreak="0">
    <w:nsid w:val="7BE72914"/>
    <w:multiLevelType w:val="hybridMultilevel"/>
    <w:tmpl w:val="4D344CEC"/>
    <w:lvl w:ilvl="0" w:tplc="4F783800">
      <w:start w:val="1"/>
      <w:numFmt w:val="decimal"/>
      <w:lvlText w:val="%1."/>
      <w:lvlJc w:val="left"/>
      <w:pPr>
        <w:ind w:left="360" w:hanging="260"/>
      </w:pPr>
    </w:lvl>
    <w:lvl w:ilvl="1" w:tplc="D5BC16E4">
      <w:numFmt w:val="decimal"/>
      <w:lvlText w:val=""/>
      <w:lvlJc w:val="left"/>
    </w:lvl>
    <w:lvl w:ilvl="2" w:tplc="8BB2AFF8">
      <w:numFmt w:val="decimal"/>
      <w:lvlText w:val=""/>
      <w:lvlJc w:val="left"/>
    </w:lvl>
    <w:lvl w:ilvl="3" w:tplc="38462FA6">
      <w:numFmt w:val="decimal"/>
      <w:lvlText w:val=""/>
      <w:lvlJc w:val="left"/>
    </w:lvl>
    <w:lvl w:ilvl="4" w:tplc="40661AC6">
      <w:numFmt w:val="decimal"/>
      <w:lvlText w:val=""/>
      <w:lvlJc w:val="left"/>
    </w:lvl>
    <w:lvl w:ilvl="5" w:tplc="765E87B6">
      <w:numFmt w:val="decimal"/>
      <w:lvlText w:val=""/>
      <w:lvlJc w:val="left"/>
    </w:lvl>
    <w:lvl w:ilvl="6" w:tplc="D4C418C2">
      <w:numFmt w:val="decimal"/>
      <w:lvlText w:val=""/>
      <w:lvlJc w:val="left"/>
    </w:lvl>
    <w:lvl w:ilvl="7" w:tplc="282EC60C">
      <w:numFmt w:val="decimal"/>
      <w:lvlText w:val=""/>
      <w:lvlJc w:val="left"/>
    </w:lvl>
    <w:lvl w:ilvl="8" w:tplc="63869AD0">
      <w:numFmt w:val="decimal"/>
      <w:lvlText w:val=""/>
      <w:lvlJc w:val="left"/>
    </w:lvl>
  </w:abstractNum>
  <w:abstractNum w:abstractNumId="141" w15:restartNumberingAfterBreak="0">
    <w:nsid w:val="7C192E08"/>
    <w:multiLevelType w:val="hybridMultilevel"/>
    <w:tmpl w:val="0E8669A4"/>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2" w15:restartNumberingAfterBreak="0">
    <w:nsid w:val="7D1F5AD5"/>
    <w:multiLevelType w:val="hybridMultilevel"/>
    <w:tmpl w:val="AC746716"/>
    <w:lvl w:ilvl="0" w:tplc="1BA8576C">
      <w:start w:val="1"/>
      <w:numFmt w:val="bullet"/>
      <w:lvlText w:val=""/>
      <w:lvlJc w:val="left"/>
      <w:pPr>
        <w:ind w:left="720" w:hanging="360"/>
      </w:pPr>
      <w:rPr>
        <w:rFonts w:ascii="Symbol" w:hAnsi="Symbol"/>
      </w:rPr>
    </w:lvl>
    <w:lvl w:ilvl="1" w:tplc="1A9086FE">
      <w:start w:val="1"/>
      <w:numFmt w:val="bullet"/>
      <w:lvlText w:val=""/>
      <w:lvlJc w:val="left"/>
      <w:pPr>
        <w:ind w:left="720" w:hanging="360"/>
      </w:pPr>
      <w:rPr>
        <w:rFonts w:ascii="Symbol" w:hAnsi="Symbol"/>
      </w:rPr>
    </w:lvl>
    <w:lvl w:ilvl="2" w:tplc="428AFB3E">
      <w:start w:val="1"/>
      <w:numFmt w:val="bullet"/>
      <w:lvlText w:val=""/>
      <w:lvlJc w:val="left"/>
      <w:pPr>
        <w:ind w:left="720" w:hanging="360"/>
      </w:pPr>
      <w:rPr>
        <w:rFonts w:ascii="Symbol" w:hAnsi="Symbol"/>
      </w:rPr>
    </w:lvl>
    <w:lvl w:ilvl="3" w:tplc="1946DAFC">
      <w:start w:val="1"/>
      <w:numFmt w:val="bullet"/>
      <w:lvlText w:val=""/>
      <w:lvlJc w:val="left"/>
      <w:pPr>
        <w:ind w:left="720" w:hanging="360"/>
      </w:pPr>
      <w:rPr>
        <w:rFonts w:ascii="Symbol" w:hAnsi="Symbol"/>
      </w:rPr>
    </w:lvl>
    <w:lvl w:ilvl="4" w:tplc="90660C2E">
      <w:start w:val="1"/>
      <w:numFmt w:val="bullet"/>
      <w:lvlText w:val=""/>
      <w:lvlJc w:val="left"/>
      <w:pPr>
        <w:ind w:left="720" w:hanging="360"/>
      </w:pPr>
      <w:rPr>
        <w:rFonts w:ascii="Symbol" w:hAnsi="Symbol"/>
      </w:rPr>
    </w:lvl>
    <w:lvl w:ilvl="5" w:tplc="AAF0244A">
      <w:start w:val="1"/>
      <w:numFmt w:val="bullet"/>
      <w:lvlText w:val=""/>
      <w:lvlJc w:val="left"/>
      <w:pPr>
        <w:ind w:left="720" w:hanging="360"/>
      </w:pPr>
      <w:rPr>
        <w:rFonts w:ascii="Symbol" w:hAnsi="Symbol"/>
      </w:rPr>
    </w:lvl>
    <w:lvl w:ilvl="6" w:tplc="70B2D484">
      <w:start w:val="1"/>
      <w:numFmt w:val="bullet"/>
      <w:lvlText w:val=""/>
      <w:lvlJc w:val="left"/>
      <w:pPr>
        <w:ind w:left="720" w:hanging="360"/>
      </w:pPr>
      <w:rPr>
        <w:rFonts w:ascii="Symbol" w:hAnsi="Symbol"/>
      </w:rPr>
    </w:lvl>
    <w:lvl w:ilvl="7" w:tplc="77985E12">
      <w:start w:val="1"/>
      <w:numFmt w:val="bullet"/>
      <w:lvlText w:val=""/>
      <w:lvlJc w:val="left"/>
      <w:pPr>
        <w:ind w:left="720" w:hanging="360"/>
      </w:pPr>
      <w:rPr>
        <w:rFonts w:ascii="Symbol" w:hAnsi="Symbol"/>
      </w:rPr>
    </w:lvl>
    <w:lvl w:ilvl="8" w:tplc="7188D4BE">
      <w:start w:val="1"/>
      <w:numFmt w:val="bullet"/>
      <w:lvlText w:val=""/>
      <w:lvlJc w:val="left"/>
      <w:pPr>
        <w:ind w:left="720" w:hanging="360"/>
      </w:pPr>
      <w:rPr>
        <w:rFonts w:ascii="Symbol" w:hAnsi="Symbol"/>
      </w:rPr>
    </w:lvl>
  </w:abstractNum>
  <w:abstractNum w:abstractNumId="143" w15:restartNumberingAfterBreak="0">
    <w:nsid w:val="7D2A1230"/>
    <w:multiLevelType w:val="hybridMultilevel"/>
    <w:tmpl w:val="681C8CA8"/>
    <w:lvl w:ilvl="0" w:tplc="A1F0EA9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7D4F08F7"/>
    <w:multiLevelType w:val="hybridMultilevel"/>
    <w:tmpl w:val="411C2C9C"/>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rPr>
        <w:b w:val="0"/>
        <w:b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7D7719DA"/>
    <w:multiLevelType w:val="hybridMultilevel"/>
    <w:tmpl w:val="E234887A"/>
    <w:lvl w:ilvl="0" w:tplc="42F2C53A">
      <w:start w:val="1"/>
      <w:numFmt w:val="bullet"/>
      <w:lvlText w:val=""/>
      <w:lvlJc w:val="left"/>
      <w:pPr>
        <w:ind w:left="1440" w:hanging="360"/>
      </w:pPr>
      <w:rPr>
        <w:rFonts w:ascii="Symbol" w:hAnsi="Symbol"/>
      </w:rPr>
    </w:lvl>
    <w:lvl w:ilvl="1" w:tplc="DDB063F8">
      <w:start w:val="1"/>
      <w:numFmt w:val="bullet"/>
      <w:lvlText w:val=""/>
      <w:lvlJc w:val="left"/>
      <w:pPr>
        <w:ind w:left="1440" w:hanging="360"/>
      </w:pPr>
      <w:rPr>
        <w:rFonts w:ascii="Symbol" w:hAnsi="Symbol"/>
      </w:rPr>
    </w:lvl>
    <w:lvl w:ilvl="2" w:tplc="BA1A1CFA">
      <w:start w:val="1"/>
      <w:numFmt w:val="bullet"/>
      <w:lvlText w:val=""/>
      <w:lvlJc w:val="left"/>
      <w:pPr>
        <w:ind w:left="1440" w:hanging="360"/>
      </w:pPr>
      <w:rPr>
        <w:rFonts w:ascii="Symbol" w:hAnsi="Symbol"/>
      </w:rPr>
    </w:lvl>
    <w:lvl w:ilvl="3" w:tplc="260E4DA2">
      <w:start w:val="1"/>
      <w:numFmt w:val="bullet"/>
      <w:lvlText w:val=""/>
      <w:lvlJc w:val="left"/>
      <w:pPr>
        <w:ind w:left="1440" w:hanging="360"/>
      </w:pPr>
      <w:rPr>
        <w:rFonts w:ascii="Symbol" w:hAnsi="Symbol"/>
      </w:rPr>
    </w:lvl>
    <w:lvl w:ilvl="4" w:tplc="9DF091AE">
      <w:start w:val="1"/>
      <w:numFmt w:val="bullet"/>
      <w:lvlText w:val=""/>
      <w:lvlJc w:val="left"/>
      <w:pPr>
        <w:ind w:left="1440" w:hanging="360"/>
      </w:pPr>
      <w:rPr>
        <w:rFonts w:ascii="Symbol" w:hAnsi="Symbol"/>
      </w:rPr>
    </w:lvl>
    <w:lvl w:ilvl="5" w:tplc="62B4F800">
      <w:start w:val="1"/>
      <w:numFmt w:val="bullet"/>
      <w:lvlText w:val=""/>
      <w:lvlJc w:val="left"/>
      <w:pPr>
        <w:ind w:left="1440" w:hanging="360"/>
      </w:pPr>
      <w:rPr>
        <w:rFonts w:ascii="Symbol" w:hAnsi="Symbol"/>
      </w:rPr>
    </w:lvl>
    <w:lvl w:ilvl="6" w:tplc="B63E01F8">
      <w:start w:val="1"/>
      <w:numFmt w:val="bullet"/>
      <w:lvlText w:val=""/>
      <w:lvlJc w:val="left"/>
      <w:pPr>
        <w:ind w:left="1440" w:hanging="360"/>
      </w:pPr>
      <w:rPr>
        <w:rFonts w:ascii="Symbol" w:hAnsi="Symbol"/>
      </w:rPr>
    </w:lvl>
    <w:lvl w:ilvl="7" w:tplc="FF38CCFC">
      <w:start w:val="1"/>
      <w:numFmt w:val="bullet"/>
      <w:lvlText w:val=""/>
      <w:lvlJc w:val="left"/>
      <w:pPr>
        <w:ind w:left="1440" w:hanging="360"/>
      </w:pPr>
      <w:rPr>
        <w:rFonts w:ascii="Symbol" w:hAnsi="Symbol"/>
      </w:rPr>
    </w:lvl>
    <w:lvl w:ilvl="8" w:tplc="6BC03B76">
      <w:start w:val="1"/>
      <w:numFmt w:val="bullet"/>
      <w:lvlText w:val=""/>
      <w:lvlJc w:val="left"/>
      <w:pPr>
        <w:ind w:left="1440" w:hanging="360"/>
      </w:pPr>
      <w:rPr>
        <w:rFonts w:ascii="Symbol" w:hAnsi="Symbol"/>
      </w:rPr>
    </w:lvl>
  </w:abstractNum>
  <w:abstractNum w:abstractNumId="146" w15:restartNumberingAfterBreak="0">
    <w:nsid w:val="7E683B25"/>
    <w:multiLevelType w:val="hybridMultilevel"/>
    <w:tmpl w:val="C9E02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E9B46C3"/>
    <w:multiLevelType w:val="hybridMultilevel"/>
    <w:tmpl w:val="C6F8A01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638922428">
    <w:abstractNumId w:val="50"/>
  </w:num>
  <w:num w:numId="2" w16cid:durableId="1080827288">
    <w:abstractNumId w:val="32"/>
  </w:num>
  <w:num w:numId="3" w16cid:durableId="2139255077">
    <w:abstractNumId w:val="51"/>
  </w:num>
  <w:num w:numId="4" w16cid:durableId="11028786">
    <w:abstractNumId w:val="88"/>
  </w:num>
  <w:num w:numId="5" w16cid:durableId="219755777">
    <w:abstractNumId w:val="46"/>
  </w:num>
  <w:num w:numId="6" w16cid:durableId="424960249">
    <w:abstractNumId w:val="36"/>
    <w:lvlOverride w:ilvl="0">
      <w:startOverride w:val="1"/>
    </w:lvlOverride>
  </w:num>
  <w:num w:numId="7" w16cid:durableId="1715883834">
    <w:abstractNumId w:val="116"/>
  </w:num>
  <w:num w:numId="8" w16cid:durableId="1391539573">
    <w:abstractNumId w:val="9"/>
  </w:num>
  <w:num w:numId="9" w16cid:durableId="1691645052">
    <w:abstractNumId w:val="125"/>
  </w:num>
  <w:num w:numId="10" w16cid:durableId="716203581">
    <w:abstractNumId w:val="141"/>
  </w:num>
  <w:num w:numId="11" w16cid:durableId="34425963">
    <w:abstractNumId w:val="135"/>
  </w:num>
  <w:num w:numId="12" w16cid:durableId="545801073">
    <w:abstractNumId w:val="134"/>
  </w:num>
  <w:num w:numId="13" w16cid:durableId="151675772">
    <w:abstractNumId w:val="95"/>
  </w:num>
  <w:num w:numId="14" w16cid:durableId="1512180377">
    <w:abstractNumId w:val="98"/>
  </w:num>
  <w:num w:numId="15" w16cid:durableId="983239302">
    <w:abstractNumId w:val="127"/>
  </w:num>
  <w:num w:numId="16" w16cid:durableId="248972904">
    <w:abstractNumId w:val="136"/>
  </w:num>
  <w:num w:numId="17" w16cid:durableId="835413706">
    <w:abstractNumId w:val="58"/>
  </w:num>
  <w:num w:numId="18" w16cid:durableId="616375376">
    <w:abstractNumId w:val="92"/>
  </w:num>
  <w:num w:numId="19" w16cid:durableId="1591546521">
    <w:abstractNumId w:val="48"/>
  </w:num>
  <w:num w:numId="20" w16cid:durableId="913127549">
    <w:abstractNumId w:val="83"/>
  </w:num>
  <w:num w:numId="21" w16cid:durableId="381636264">
    <w:abstractNumId w:val="63"/>
  </w:num>
  <w:num w:numId="22" w16cid:durableId="223679958">
    <w:abstractNumId w:val="113"/>
  </w:num>
  <w:num w:numId="23" w16cid:durableId="1869022997">
    <w:abstractNumId w:val="96"/>
  </w:num>
  <w:num w:numId="24" w16cid:durableId="2140149564">
    <w:abstractNumId w:val="34"/>
  </w:num>
  <w:num w:numId="25" w16cid:durableId="1313752706">
    <w:abstractNumId w:val="72"/>
  </w:num>
  <w:num w:numId="26" w16cid:durableId="612859850">
    <w:abstractNumId w:val="61"/>
  </w:num>
  <w:num w:numId="27" w16cid:durableId="1040475119">
    <w:abstractNumId w:val="37"/>
  </w:num>
  <w:num w:numId="28" w16cid:durableId="1380326761">
    <w:abstractNumId w:val="7"/>
  </w:num>
  <w:num w:numId="29" w16cid:durableId="1201357484">
    <w:abstractNumId w:val="25"/>
  </w:num>
  <w:num w:numId="30" w16cid:durableId="34782777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29765434">
    <w:abstractNumId w:val="10"/>
  </w:num>
  <w:num w:numId="32" w16cid:durableId="254215856">
    <w:abstractNumId w:val="20"/>
  </w:num>
  <w:num w:numId="33" w16cid:durableId="1036274523">
    <w:abstractNumId w:val="70"/>
  </w:num>
  <w:num w:numId="34" w16cid:durableId="1268154266">
    <w:abstractNumId w:val="115"/>
  </w:num>
  <w:num w:numId="35" w16cid:durableId="601036482">
    <w:abstractNumId w:val="65"/>
    <w:lvlOverride w:ilvl="0">
      <w:startOverride w:val="1"/>
    </w:lvlOverride>
  </w:num>
  <w:num w:numId="36" w16cid:durableId="560480140">
    <w:abstractNumId w:val="140"/>
    <w:lvlOverride w:ilvl="0">
      <w:startOverride w:val="1"/>
    </w:lvlOverride>
  </w:num>
  <w:num w:numId="37" w16cid:durableId="66612446">
    <w:abstractNumId w:val="6"/>
  </w:num>
  <w:num w:numId="38" w16cid:durableId="1288050398">
    <w:abstractNumId w:val="128"/>
  </w:num>
  <w:num w:numId="39" w16cid:durableId="2146777033">
    <w:abstractNumId w:val="86"/>
  </w:num>
  <w:num w:numId="40" w16cid:durableId="1251624558">
    <w:abstractNumId w:val="54"/>
  </w:num>
  <w:num w:numId="41" w16cid:durableId="656811427">
    <w:abstractNumId w:val="35"/>
  </w:num>
  <w:num w:numId="42" w16cid:durableId="853691675">
    <w:abstractNumId w:val="143"/>
  </w:num>
  <w:num w:numId="43" w16cid:durableId="2111968322">
    <w:abstractNumId w:val="49"/>
  </w:num>
  <w:num w:numId="44" w16cid:durableId="1320039792">
    <w:abstractNumId w:val="79"/>
  </w:num>
  <w:num w:numId="45" w16cid:durableId="348802620">
    <w:abstractNumId w:val="97"/>
  </w:num>
  <w:num w:numId="46" w16cid:durableId="1567035030">
    <w:abstractNumId w:val="42"/>
  </w:num>
  <w:num w:numId="47" w16cid:durableId="386418514">
    <w:abstractNumId w:val="90"/>
  </w:num>
  <w:num w:numId="48" w16cid:durableId="2006738537">
    <w:abstractNumId w:val="114"/>
  </w:num>
  <w:num w:numId="49" w16cid:durableId="1766916934">
    <w:abstractNumId w:val="112"/>
  </w:num>
  <w:num w:numId="50" w16cid:durableId="503857256">
    <w:abstractNumId w:val="14"/>
  </w:num>
  <w:num w:numId="51" w16cid:durableId="1965308610">
    <w:abstractNumId w:val="22"/>
  </w:num>
  <w:num w:numId="52" w16cid:durableId="793061322">
    <w:abstractNumId w:val="40"/>
  </w:num>
  <w:num w:numId="53" w16cid:durableId="1262563971">
    <w:abstractNumId w:val="21"/>
  </w:num>
  <w:num w:numId="54" w16cid:durableId="610356781">
    <w:abstractNumId w:val="93"/>
  </w:num>
  <w:num w:numId="55" w16cid:durableId="1077440948">
    <w:abstractNumId w:val="104"/>
  </w:num>
  <w:num w:numId="56" w16cid:durableId="2116709613">
    <w:abstractNumId w:val="2"/>
  </w:num>
  <w:num w:numId="57" w16cid:durableId="1003629166">
    <w:abstractNumId w:val="132"/>
  </w:num>
  <w:num w:numId="58" w16cid:durableId="977804794">
    <w:abstractNumId w:val="82"/>
  </w:num>
  <w:num w:numId="59" w16cid:durableId="50346815">
    <w:abstractNumId w:val="139"/>
  </w:num>
  <w:num w:numId="60" w16cid:durableId="579367929">
    <w:abstractNumId w:val="87"/>
  </w:num>
  <w:num w:numId="61" w16cid:durableId="1403406551">
    <w:abstractNumId w:val="120"/>
  </w:num>
  <w:num w:numId="62" w16cid:durableId="577400443">
    <w:abstractNumId w:val="118"/>
  </w:num>
  <w:num w:numId="63" w16cid:durableId="302929061">
    <w:abstractNumId w:val="105"/>
  </w:num>
  <w:num w:numId="64" w16cid:durableId="762798849">
    <w:abstractNumId w:val="130"/>
  </w:num>
  <w:num w:numId="65" w16cid:durableId="1682122337">
    <w:abstractNumId w:val="111"/>
  </w:num>
  <w:num w:numId="66" w16cid:durableId="469906583">
    <w:abstractNumId w:val="123"/>
  </w:num>
  <w:num w:numId="67" w16cid:durableId="1162544281">
    <w:abstractNumId w:val="133"/>
  </w:num>
  <w:num w:numId="68" w16cid:durableId="949704803">
    <w:abstractNumId w:val="101"/>
  </w:num>
  <w:num w:numId="69" w16cid:durableId="628556325">
    <w:abstractNumId w:val="144"/>
  </w:num>
  <w:num w:numId="70" w16cid:durableId="671445278">
    <w:abstractNumId w:val="62"/>
  </w:num>
  <w:num w:numId="71" w16cid:durableId="1623146199">
    <w:abstractNumId w:val="76"/>
  </w:num>
  <w:num w:numId="72" w16cid:durableId="1466969280">
    <w:abstractNumId w:val="102"/>
  </w:num>
  <w:num w:numId="73" w16cid:durableId="892740582">
    <w:abstractNumId w:val="84"/>
  </w:num>
  <w:num w:numId="74" w16cid:durableId="1004013290">
    <w:abstractNumId w:val="126"/>
  </w:num>
  <w:num w:numId="75" w16cid:durableId="970407289">
    <w:abstractNumId w:val="23"/>
  </w:num>
  <w:num w:numId="76" w16cid:durableId="338392136">
    <w:abstractNumId w:val="68"/>
  </w:num>
  <w:num w:numId="77" w16cid:durableId="1957322283">
    <w:abstractNumId w:val="60"/>
  </w:num>
  <w:num w:numId="78" w16cid:durableId="483930283">
    <w:abstractNumId w:val="142"/>
  </w:num>
  <w:num w:numId="79" w16cid:durableId="1442651514">
    <w:abstractNumId w:val="100"/>
  </w:num>
  <w:num w:numId="80" w16cid:durableId="1755930096">
    <w:abstractNumId w:val="18"/>
  </w:num>
  <w:num w:numId="81" w16cid:durableId="828135358">
    <w:abstractNumId w:val="91"/>
  </w:num>
  <w:num w:numId="82" w16cid:durableId="174422470">
    <w:abstractNumId w:val="27"/>
  </w:num>
  <w:num w:numId="83" w16cid:durableId="466512853">
    <w:abstractNumId w:val="28"/>
  </w:num>
  <w:num w:numId="84" w16cid:durableId="2031297994">
    <w:abstractNumId w:val="16"/>
  </w:num>
  <w:num w:numId="85" w16cid:durableId="1582327722">
    <w:abstractNumId w:val="75"/>
  </w:num>
  <w:num w:numId="86" w16cid:durableId="1354914687">
    <w:abstractNumId w:val="5"/>
  </w:num>
  <w:num w:numId="87" w16cid:durableId="390426951">
    <w:abstractNumId w:val="131"/>
  </w:num>
  <w:num w:numId="88" w16cid:durableId="1376808113">
    <w:abstractNumId w:val="124"/>
  </w:num>
  <w:num w:numId="89" w16cid:durableId="1183932972">
    <w:abstractNumId w:val="145"/>
  </w:num>
  <w:num w:numId="90" w16cid:durableId="1312758172">
    <w:abstractNumId w:val="33"/>
  </w:num>
  <w:num w:numId="91" w16cid:durableId="921255644">
    <w:abstractNumId w:val="45"/>
  </w:num>
  <w:num w:numId="92" w16cid:durableId="611478153">
    <w:abstractNumId w:val="41"/>
  </w:num>
  <w:num w:numId="93" w16cid:durableId="102305270">
    <w:abstractNumId w:val="81"/>
  </w:num>
  <w:num w:numId="94" w16cid:durableId="959654511">
    <w:abstractNumId w:val="52"/>
  </w:num>
  <w:num w:numId="95" w16cid:durableId="359823954">
    <w:abstractNumId w:val="117"/>
  </w:num>
  <w:num w:numId="96" w16cid:durableId="269360806">
    <w:abstractNumId w:val="73"/>
    <w:lvlOverride w:ilvl="0">
      <w:startOverride w:val="1"/>
    </w:lvlOverride>
  </w:num>
  <w:num w:numId="97" w16cid:durableId="1725372058">
    <w:abstractNumId w:val="122"/>
    <w:lvlOverride w:ilvl="0">
      <w:startOverride w:val="1"/>
    </w:lvlOverride>
  </w:num>
  <w:num w:numId="98" w16cid:durableId="1989478905">
    <w:abstractNumId w:val="80"/>
  </w:num>
  <w:num w:numId="99" w16cid:durableId="1001087449">
    <w:abstractNumId w:val="55"/>
  </w:num>
  <w:num w:numId="100" w16cid:durableId="1120689741">
    <w:abstractNumId w:val="121"/>
  </w:num>
  <w:num w:numId="101" w16cid:durableId="1614820888">
    <w:abstractNumId w:val="29"/>
  </w:num>
  <w:num w:numId="102" w16cid:durableId="892817110">
    <w:abstractNumId w:val="0"/>
  </w:num>
  <w:num w:numId="103" w16cid:durableId="322851747">
    <w:abstractNumId w:val="57"/>
  </w:num>
  <w:num w:numId="104" w16cid:durableId="1570848291">
    <w:abstractNumId w:val="66"/>
  </w:num>
  <w:num w:numId="105" w16cid:durableId="1581602975">
    <w:abstractNumId w:val="103"/>
  </w:num>
  <w:num w:numId="106" w16cid:durableId="1494444717">
    <w:abstractNumId w:val="74"/>
  </w:num>
  <w:num w:numId="107" w16cid:durableId="256600178">
    <w:abstractNumId w:val="19"/>
  </w:num>
  <w:num w:numId="108" w16cid:durableId="970592077">
    <w:abstractNumId w:val="30"/>
  </w:num>
  <w:num w:numId="109" w16cid:durableId="2097244989">
    <w:abstractNumId w:val="107"/>
  </w:num>
  <w:num w:numId="110" w16cid:durableId="539980107">
    <w:abstractNumId w:val="26"/>
  </w:num>
  <w:num w:numId="111" w16cid:durableId="98305317">
    <w:abstractNumId w:val="138"/>
  </w:num>
  <w:num w:numId="112" w16cid:durableId="1390879069">
    <w:abstractNumId w:val="44"/>
  </w:num>
  <w:num w:numId="113" w16cid:durableId="1599099863">
    <w:abstractNumId w:val="53"/>
  </w:num>
  <w:num w:numId="114" w16cid:durableId="1111634353">
    <w:abstractNumId w:val="12"/>
  </w:num>
  <w:num w:numId="115" w16cid:durableId="602540692">
    <w:abstractNumId w:val="85"/>
  </w:num>
  <w:num w:numId="116" w16cid:durableId="807748869">
    <w:abstractNumId w:val="3"/>
  </w:num>
  <w:num w:numId="117" w16cid:durableId="294533336">
    <w:abstractNumId w:val="1"/>
  </w:num>
  <w:num w:numId="118" w16cid:durableId="702024916">
    <w:abstractNumId w:val="94"/>
  </w:num>
  <w:num w:numId="119" w16cid:durableId="251352420">
    <w:abstractNumId w:val="24"/>
  </w:num>
  <w:num w:numId="120" w16cid:durableId="1185511973">
    <w:abstractNumId w:val="78"/>
  </w:num>
  <w:num w:numId="121" w16cid:durableId="1199002122">
    <w:abstractNumId w:val="38"/>
  </w:num>
  <w:num w:numId="122" w16cid:durableId="148249497">
    <w:abstractNumId w:val="129"/>
  </w:num>
  <w:num w:numId="123" w16cid:durableId="1762683141">
    <w:abstractNumId w:val="64"/>
  </w:num>
  <w:num w:numId="124" w16cid:durableId="610866436">
    <w:abstractNumId w:val="147"/>
  </w:num>
  <w:num w:numId="125" w16cid:durableId="1559588594">
    <w:abstractNumId w:val="8"/>
    <w:lvlOverride w:ilvl="0">
      <w:startOverride w:val="1"/>
    </w:lvlOverride>
  </w:num>
  <w:num w:numId="126" w16cid:durableId="100758586">
    <w:abstractNumId w:val="89"/>
  </w:num>
  <w:num w:numId="127" w16cid:durableId="486479070">
    <w:abstractNumId w:val="147"/>
  </w:num>
  <w:num w:numId="128" w16cid:durableId="1265386427">
    <w:abstractNumId w:val="39"/>
  </w:num>
  <w:num w:numId="129" w16cid:durableId="670521132">
    <w:abstractNumId w:val="71"/>
  </w:num>
  <w:num w:numId="130" w16cid:durableId="782115052">
    <w:abstractNumId w:val="69"/>
  </w:num>
  <w:num w:numId="131" w16cid:durableId="1259287177">
    <w:abstractNumId w:val="99"/>
  </w:num>
  <w:num w:numId="132" w16cid:durableId="1318874236">
    <w:abstractNumId w:val="56"/>
  </w:num>
  <w:num w:numId="133" w16cid:durableId="1672873016">
    <w:abstractNumId w:val="4"/>
  </w:num>
  <w:num w:numId="134" w16cid:durableId="2001303960">
    <w:abstractNumId w:val="110"/>
  </w:num>
  <w:num w:numId="135" w16cid:durableId="1977181">
    <w:abstractNumId w:val="67"/>
  </w:num>
  <w:num w:numId="136" w16cid:durableId="900752955">
    <w:abstractNumId w:val="77"/>
  </w:num>
  <w:num w:numId="137" w16cid:durableId="1436637373">
    <w:abstractNumId w:val="15"/>
  </w:num>
  <w:num w:numId="138" w16cid:durableId="460078062">
    <w:abstractNumId w:val="146"/>
  </w:num>
  <w:num w:numId="139" w16cid:durableId="450513773">
    <w:abstractNumId w:val="119"/>
  </w:num>
  <w:num w:numId="140" w16cid:durableId="381098325">
    <w:abstractNumId w:val="137"/>
  </w:num>
  <w:num w:numId="141" w16cid:durableId="438183832">
    <w:abstractNumId w:val="31"/>
  </w:num>
  <w:num w:numId="142" w16cid:durableId="32197206">
    <w:abstractNumId w:val="13"/>
  </w:num>
  <w:num w:numId="143" w16cid:durableId="1034766459">
    <w:abstractNumId w:val="106"/>
  </w:num>
  <w:num w:numId="144" w16cid:durableId="905840134">
    <w:abstractNumId w:val="11"/>
  </w:num>
  <w:num w:numId="145" w16cid:durableId="906115661">
    <w:abstractNumId w:val="108"/>
  </w:num>
  <w:num w:numId="146" w16cid:durableId="2050375519">
    <w:abstractNumId w:val="109"/>
  </w:num>
  <w:num w:numId="147" w16cid:durableId="2145080802">
    <w:abstractNumId w:val="17"/>
  </w:num>
  <w:num w:numId="148" w16cid:durableId="1563247397">
    <w:abstractNumId w:val="59"/>
  </w:num>
  <w:num w:numId="149" w16cid:durableId="216555469">
    <w:abstractNumId w:val="43"/>
  </w:num>
  <w:numIdMacAtCleanup w:val="1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hite, Louise (GOV)">
    <w15:presenceInfo w15:providerId="AD" w15:userId="S::Louise.White@governor.virginia.gov::b39cdbb8-ad61-4345-8848-7f856c60bc4d"/>
  </w15:person>
  <w15:person w15:author="Andrew Kimball">
    <w15:presenceInfo w15:providerId="None" w15:userId="Andrew Kimball"/>
  </w15:person>
  <w15:person w15:author="Allmond, Josephus (GOV)">
    <w15:presenceInfo w15:providerId="AD" w15:userId="S::Josephus.Allmond@governor.virginia.gov::83737696-d5ae-4167-a782-d79d4c2621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CE7"/>
    <w:rsid w:val="000003A0"/>
    <w:rsid w:val="0000088C"/>
    <w:rsid w:val="00000C13"/>
    <w:rsid w:val="00000C45"/>
    <w:rsid w:val="00000D4A"/>
    <w:rsid w:val="0000111B"/>
    <w:rsid w:val="00001158"/>
    <w:rsid w:val="000013B6"/>
    <w:rsid w:val="00001445"/>
    <w:rsid w:val="00001736"/>
    <w:rsid w:val="000019CC"/>
    <w:rsid w:val="00001B52"/>
    <w:rsid w:val="00001BCC"/>
    <w:rsid w:val="00001E12"/>
    <w:rsid w:val="00001F6C"/>
    <w:rsid w:val="00002004"/>
    <w:rsid w:val="000021DA"/>
    <w:rsid w:val="000021DE"/>
    <w:rsid w:val="00002270"/>
    <w:rsid w:val="000022AC"/>
    <w:rsid w:val="00002613"/>
    <w:rsid w:val="00002A42"/>
    <w:rsid w:val="00002CB6"/>
    <w:rsid w:val="00002D8C"/>
    <w:rsid w:val="00002F29"/>
    <w:rsid w:val="00003516"/>
    <w:rsid w:val="00003A14"/>
    <w:rsid w:val="00003B02"/>
    <w:rsid w:val="00003E78"/>
    <w:rsid w:val="00004243"/>
    <w:rsid w:val="000043A6"/>
    <w:rsid w:val="0000446E"/>
    <w:rsid w:val="00004552"/>
    <w:rsid w:val="00004848"/>
    <w:rsid w:val="000049AA"/>
    <w:rsid w:val="00004A24"/>
    <w:rsid w:val="00004E4A"/>
    <w:rsid w:val="00004F3E"/>
    <w:rsid w:val="0000551E"/>
    <w:rsid w:val="00005A9D"/>
    <w:rsid w:val="00005C8F"/>
    <w:rsid w:val="00005F9B"/>
    <w:rsid w:val="00005FDE"/>
    <w:rsid w:val="00006020"/>
    <w:rsid w:val="0000620A"/>
    <w:rsid w:val="00006392"/>
    <w:rsid w:val="0000651C"/>
    <w:rsid w:val="00006936"/>
    <w:rsid w:val="00006949"/>
    <w:rsid w:val="00006C04"/>
    <w:rsid w:val="00007249"/>
    <w:rsid w:val="00007892"/>
    <w:rsid w:val="00007F0B"/>
    <w:rsid w:val="00010172"/>
    <w:rsid w:val="00010214"/>
    <w:rsid w:val="00010346"/>
    <w:rsid w:val="000104BD"/>
    <w:rsid w:val="000105AC"/>
    <w:rsid w:val="00010807"/>
    <w:rsid w:val="000109FF"/>
    <w:rsid w:val="00010F99"/>
    <w:rsid w:val="00010FB7"/>
    <w:rsid w:val="00010FEB"/>
    <w:rsid w:val="000110E7"/>
    <w:rsid w:val="00011101"/>
    <w:rsid w:val="000113D1"/>
    <w:rsid w:val="00011469"/>
    <w:rsid w:val="000114E7"/>
    <w:rsid w:val="0001168B"/>
    <w:rsid w:val="000116A2"/>
    <w:rsid w:val="000116D7"/>
    <w:rsid w:val="000118BF"/>
    <w:rsid w:val="00011CDF"/>
    <w:rsid w:val="00011D10"/>
    <w:rsid w:val="00011FCB"/>
    <w:rsid w:val="00012006"/>
    <w:rsid w:val="000122BB"/>
    <w:rsid w:val="000124C8"/>
    <w:rsid w:val="000124D4"/>
    <w:rsid w:val="00012786"/>
    <w:rsid w:val="000128F4"/>
    <w:rsid w:val="00012998"/>
    <w:rsid w:val="00012BCC"/>
    <w:rsid w:val="00013250"/>
    <w:rsid w:val="00013263"/>
    <w:rsid w:val="00013295"/>
    <w:rsid w:val="000135EC"/>
    <w:rsid w:val="00013873"/>
    <w:rsid w:val="0001389D"/>
    <w:rsid w:val="00013A14"/>
    <w:rsid w:val="00013E4A"/>
    <w:rsid w:val="0001402E"/>
    <w:rsid w:val="00014760"/>
    <w:rsid w:val="000149B1"/>
    <w:rsid w:val="00014DB6"/>
    <w:rsid w:val="00014E25"/>
    <w:rsid w:val="00014F61"/>
    <w:rsid w:val="00014FD1"/>
    <w:rsid w:val="00015A4B"/>
    <w:rsid w:val="00015C13"/>
    <w:rsid w:val="00015C43"/>
    <w:rsid w:val="00015C60"/>
    <w:rsid w:val="00015E2A"/>
    <w:rsid w:val="00016482"/>
    <w:rsid w:val="00016494"/>
    <w:rsid w:val="00016577"/>
    <w:rsid w:val="00016889"/>
    <w:rsid w:val="00016A04"/>
    <w:rsid w:val="00016E4E"/>
    <w:rsid w:val="00016ED1"/>
    <w:rsid w:val="00017032"/>
    <w:rsid w:val="000174CA"/>
    <w:rsid w:val="000175D0"/>
    <w:rsid w:val="00017792"/>
    <w:rsid w:val="00017F6D"/>
    <w:rsid w:val="000201C7"/>
    <w:rsid w:val="00020322"/>
    <w:rsid w:val="00020734"/>
    <w:rsid w:val="000207CF"/>
    <w:rsid w:val="00020962"/>
    <w:rsid w:val="00020DAB"/>
    <w:rsid w:val="0002116B"/>
    <w:rsid w:val="000214C5"/>
    <w:rsid w:val="0002163A"/>
    <w:rsid w:val="0002166C"/>
    <w:rsid w:val="00021909"/>
    <w:rsid w:val="00021950"/>
    <w:rsid w:val="0002206B"/>
    <w:rsid w:val="0002232C"/>
    <w:rsid w:val="00022341"/>
    <w:rsid w:val="00022345"/>
    <w:rsid w:val="00022395"/>
    <w:rsid w:val="00022458"/>
    <w:rsid w:val="0002264D"/>
    <w:rsid w:val="000226C0"/>
    <w:rsid w:val="00022901"/>
    <w:rsid w:val="00022958"/>
    <w:rsid w:val="000233F0"/>
    <w:rsid w:val="00023590"/>
    <w:rsid w:val="00023752"/>
    <w:rsid w:val="00023B4B"/>
    <w:rsid w:val="00023BE2"/>
    <w:rsid w:val="00023D46"/>
    <w:rsid w:val="00023FB2"/>
    <w:rsid w:val="000240AA"/>
    <w:rsid w:val="00024269"/>
    <w:rsid w:val="00024353"/>
    <w:rsid w:val="000246C2"/>
    <w:rsid w:val="000248B8"/>
    <w:rsid w:val="00024AED"/>
    <w:rsid w:val="00024B6F"/>
    <w:rsid w:val="00024C53"/>
    <w:rsid w:val="00024CB6"/>
    <w:rsid w:val="00024CB7"/>
    <w:rsid w:val="00024D27"/>
    <w:rsid w:val="00024E15"/>
    <w:rsid w:val="00024E54"/>
    <w:rsid w:val="00024ED3"/>
    <w:rsid w:val="00025142"/>
    <w:rsid w:val="000252F0"/>
    <w:rsid w:val="00025385"/>
    <w:rsid w:val="00025493"/>
    <w:rsid w:val="00025BFF"/>
    <w:rsid w:val="00025D84"/>
    <w:rsid w:val="00026199"/>
    <w:rsid w:val="00026766"/>
    <w:rsid w:val="00026B7F"/>
    <w:rsid w:val="00026C09"/>
    <w:rsid w:val="00027A3C"/>
    <w:rsid w:val="00027DDE"/>
    <w:rsid w:val="00027EE6"/>
    <w:rsid w:val="00027FD9"/>
    <w:rsid w:val="0003034F"/>
    <w:rsid w:val="0003051F"/>
    <w:rsid w:val="00030678"/>
    <w:rsid w:val="0003068A"/>
    <w:rsid w:val="00030EAD"/>
    <w:rsid w:val="00030F03"/>
    <w:rsid w:val="00031194"/>
    <w:rsid w:val="00031384"/>
    <w:rsid w:val="000314E7"/>
    <w:rsid w:val="00031553"/>
    <w:rsid w:val="000315C2"/>
    <w:rsid w:val="00031852"/>
    <w:rsid w:val="00031B62"/>
    <w:rsid w:val="00031BCF"/>
    <w:rsid w:val="00031CF8"/>
    <w:rsid w:val="00031D03"/>
    <w:rsid w:val="00031D30"/>
    <w:rsid w:val="00031D9D"/>
    <w:rsid w:val="000323BE"/>
    <w:rsid w:val="0003265F"/>
    <w:rsid w:val="00032684"/>
    <w:rsid w:val="000328AE"/>
    <w:rsid w:val="00032C49"/>
    <w:rsid w:val="00033139"/>
    <w:rsid w:val="0003343A"/>
    <w:rsid w:val="000336A0"/>
    <w:rsid w:val="000337FB"/>
    <w:rsid w:val="00033AB2"/>
    <w:rsid w:val="00033C3C"/>
    <w:rsid w:val="00033CE6"/>
    <w:rsid w:val="00033D26"/>
    <w:rsid w:val="00033F25"/>
    <w:rsid w:val="00033F6F"/>
    <w:rsid w:val="00034067"/>
    <w:rsid w:val="000343D9"/>
    <w:rsid w:val="0003475D"/>
    <w:rsid w:val="00034BF1"/>
    <w:rsid w:val="00034F68"/>
    <w:rsid w:val="00034F71"/>
    <w:rsid w:val="0003568A"/>
    <w:rsid w:val="0003571F"/>
    <w:rsid w:val="0003591A"/>
    <w:rsid w:val="00035C26"/>
    <w:rsid w:val="00035E3E"/>
    <w:rsid w:val="000360D0"/>
    <w:rsid w:val="00036335"/>
    <w:rsid w:val="000363CE"/>
    <w:rsid w:val="000364F3"/>
    <w:rsid w:val="00036548"/>
    <w:rsid w:val="00036857"/>
    <w:rsid w:val="00036958"/>
    <w:rsid w:val="00036A25"/>
    <w:rsid w:val="00036A89"/>
    <w:rsid w:val="00036A9A"/>
    <w:rsid w:val="00036B2B"/>
    <w:rsid w:val="00036C5F"/>
    <w:rsid w:val="00036D03"/>
    <w:rsid w:val="000371E2"/>
    <w:rsid w:val="00037304"/>
    <w:rsid w:val="00037A6E"/>
    <w:rsid w:val="00037C9D"/>
    <w:rsid w:val="00037F7C"/>
    <w:rsid w:val="00037FA5"/>
    <w:rsid w:val="00040124"/>
    <w:rsid w:val="00040254"/>
    <w:rsid w:val="000402F5"/>
    <w:rsid w:val="00040B73"/>
    <w:rsid w:val="00040C69"/>
    <w:rsid w:val="0004139A"/>
    <w:rsid w:val="00041489"/>
    <w:rsid w:val="0004173E"/>
    <w:rsid w:val="00041BCC"/>
    <w:rsid w:val="00041D4B"/>
    <w:rsid w:val="00041DB6"/>
    <w:rsid w:val="000420C8"/>
    <w:rsid w:val="0004211C"/>
    <w:rsid w:val="000423CE"/>
    <w:rsid w:val="0004253B"/>
    <w:rsid w:val="000428DA"/>
    <w:rsid w:val="00042D64"/>
    <w:rsid w:val="00043078"/>
    <w:rsid w:val="000430C0"/>
    <w:rsid w:val="00043121"/>
    <w:rsid w:val="000435A3"/>
    <w:rsid w:val="000437B4"/>
    <w:rsid w:val="00043D4B"/>
    <w:rsid w:val="00043EF0"/>
    <w:rsid w:val="000444EF"/>
    <w:rsid w:val="00044923"/>
    <w:rsid w:val="00044DFC"/>
    <w:rsid w:val="00044DFE"/>
    <w:rsid w:val="00045224"/>
    <w:rsid w:val="0004544E"/>
    <w:rsid w:val="00045B6B"/>
    <w:rsid w:val="00045F13"/>
    <w:rsid w:val="00045F4F"/>
    <w:rsid w:val="00046019"/>
    <w:rsid w:val="0004609B"/>
    <w:rsid w:val="00046369"/>
    <w:rsid w:val="0004641D"/>
    <w:rsid w:val="00046618"/>
    <w:rsid w:val="00047209"/>
    <w:rsid w:val="000476D7"/>
    <w:rsid w:val="00047754"/>
    <w:rsid w:val="00047759"/>
    <w:rsid w:val="0004779E"/>
    <w:rsid w:val="0004781D"/>
    <w:rsid w:val="00047E4C"/>
    <w:rsid w:val="00050490"/>
    <w:rsid w:val="0005069D"/>
    <w:rsid w:val="00050A75"/>
    <w:rsid w:val="00050E07"/>
    <w:rsid w:val="00051159"/>
    <w:rsid w:val="00051659"/>
    <w:rsid w:val="000517EE"/>
    <w:rsid w:val="00051938"/>
    <w:rsid w:val="00051DA9"/>
    <w:rsid w:val="000522C6"/>
    <w:rsid w:val="00052588"/>
    <w:rsid w:val="00052766"/>
    <w:rsid w:val="00052868"/>
    <w:rsid w:val="00052BFB"/>
    <w:rsid w:val="00052C96"/>
    <w:rsid w:val="000530AE"/>
    <w:rsid w:val="00053146"/>
    <w:rsid w:val="00053555"/>
    <w:rsid w:val="00053761"/>
    <w:rsid w:val="00053845"/>
    <w:rsid w:val="00053CE3"/>
    <w:rsid w:val="00053E8A"/>
    <w:rsid w:val="00053FA6"/>
    <w:rsid w:val="00053FB0"/>
    <w:rsid w:val="0005412C"/>
    <w:rsid w:val="00054347"/>
    <w:rsid w:val="000544C0"/>
    <w:rsid w:val="00054894"/>
    <w:rsid w:val="000549A4"/>
    <w:rsid w:val="00054AD6"/>
    <w:rsid w:val="00054E89"/>
    <w:rsid w:val="000550A7"/>
    <w:rsid w:val="0005513C"/>
    <w:rsid w:val="0005552F"/>
    <w:rsid w:val="0005554A"/>
    <w:rsid w:val="00055778"/>
    <w:rsid w:val="00055867"/>
    <w:rsid w:val="00055BAD"/>
    <w:rsid w:val="00055BBA"/>
    <w:rsid w:val="00055D80"/>
    <w:rsid w:val="00056152"/>
    <w:rsid w:val="00056175"/>
    <w:rsid w:val="000562A6"/>
    <w:rsid w:val="000562AA"/>
    <w:rsid w:val="0005649C"/>
    <w:rsid w:val="0005659F"/>
    <w:rsid w:val="00056A90"/>
    <w:rsid w:val="00056FB0"/>
    <w:rsid w:val="000573BE"/>
    <w:rsid w:val="0005786E"/>
    <w:rsid w:val="00057D97"/>
    <w:rsid w:val="00057DFB"/>
    <w:rsid w:val="00060090"/>
    <w:rsid w:val="000600AB"/>
    <w:rsid w:val="00060129"/>
    <w:rsid w:val="0006033C"/>
    <w:rsid w:val="00060633"/>
    <w:rsid w:val="00060A21"/>
    <w:rsid w:val="00060AA3"/>
    <w:rsid w:val="00060ADB"/>
    <w:rsid w:val="00060B8B"/>
    <w:rsid w:val="0006106E"/>
    <w:rsid w:val="000611EA"/>
    <w:rsid w:val="000612EC"/>
    <w:rsid w:val="000616E1"/>
    <w:rsid w:val="00061959"/>
    <w:rsid w:val="00061A88"/>
    <w:rsid w:val="000620D9"/>
    <w:rsid w:val="000623A3"/>
    <w:rsid w:val="00062861"/>
    <w:rsid w:val="00062933"/>
    <w:rsid w:val="00062AE3"/>
    <w:rsid w:val="00062CEB"/>
    <w:rsid w:val="00062EE7"/>
    <w:rsid w:val="00062FE7"/>
    <w:rsid w:val="000632F1"/>
    <w:rsid w:val="00063536"/>
    <w:rsid w:val="0006355C"/>
    <w:rsid w:val="00063B31"/>
    <w:rsid w:val="00063D49"/>
    <w:rsid w:val="00064092"/>
    <w:rsid w:val="00064389"/>
    <w:rsid w:val="000646F9"/>
    <w:rsid w:val="000648BC"/>
    <w:rsid w:val="000648FA"/>
    <w:rsid w:val="00064B74"/>
    <w:rsid w:val="00064D21"/>
    <w:rsid w:val="00065040"/>
    <w:rsid w:val="000652E9"/>
    <w:rsid w:val="000658F9"/>
    <w:rsid w:val="00065B71"/>
    <w:rsid w:val="00065BE8"/>
    <w:rsid w:val="00065CE7"/>
    <w:rsid w:val="00065CEF"/>
    <w:rsid w:val="00065DE7"/>
    <w:rsid w:val="00065E3C"/>
    <w:rsid w:val="0006633F"/>
    <w:rsid w:val="000663CB"/>
    <w:rsid w:val="000664A1"/>
    <w:rsid w:val="00066509"/>
    <w:rsid w:val="00066585"/>
    <w:rsid w:val="00066605"/>
    <w:rsid w:val="000667CF"/>
    <w:rsid w:val="0006685E"/>
    <w:rsid w:val="00066A7D"/>
    <w:rsid w:val="00066B31"/>
    <w:rsid w:val="00066C45"/>
    <w:rsid w:val="00066D3D"/>
    <w:rsid w:val="00066D98"/>
    <w:rsid w:val="00066E7B"/>
    <w:rsid w:val="00066EFA"/>
    <w:rsid w:val="0006712C"/>
    <w:rsid w:val="0006727A"/>
    <w:rsid w:val="00070268"/>
    <w:rsid w:val="00070663"/>
    <w:rsid w:val="0007070A"/>
    <w:rsid w:val="000708BD"/>
    <w:rsid w:val="0007098D"/>
    <w:rsid w:val="00070C60"/>
    <w:rsid w:val="00070DF4"/>
    <w:rsid w:val="00070F13"/>
    <w:rsid w:val="000715A7"/>
    <w:rsid w:val="000715C7"/>
    <w:rsid w:val="000716A8"/>
    <w:rsid w:val="0007182F"/>
    <w:rsid w:val="00071EDA"/>
    <w:rsid w:val="00071FE7"/>
    <w:rsid w:val="000725D3"/>
    <w:rsid w:val="00072868"/>
    <w:rsid w:val="0007287E"/>
    <w:rsid w:val="00072964"/>
    <w:rsid w:val="00072EE6"/>
    <w:rsid w:val="0007325F"/>
    <w:rsid w:val="000732A2"/>
    <w:rsid w:val="000732EB"/>
    <w:rsid w:val="000734D6"/>
    <w:rsid w:val="000735F5"/>
    <w:rsid w:val="00073759"/>
    <w:rsid w:val="000737EE"/>
    <w:rsid w:val="00073882"/>
    <w:rsid w:val="00073CEC"/>
    <w:rsid w:val="0007425E"/>
    <w:rsid w:val="00074494"/>
    <w:rsid w:val="00074EC0"/>
    <w:rsid w:val="00075895"/>
    <w:rsid w:val="00075A37"/>
    <w:rsid w:val="00075EB2"/>
    <w:rsid w:val="00075F5D"/>
    <w:rsid w:val="00075FFB"/>
    <w:rsid w:val="00076285"/>
    <w:rsid w:val="0007635D"/>
    <w:rsid w:val="00076650"/>
    <w:rsid w:val="000766D7"/>
    <w:rsid w:val="0007685F"/>
    <w:rsid w:val="00076B36"/>
    <w:rsid w:val="00076B7F"/>
    <w:rsid w:val="00076EE1"/>
    <w:rsid w:val="00076F7E"/>
    <w:rsid w:val="000770E5"/>
    <w:rsid w:val="000770EA"/>
    <w:rsid w:val="00077481"/>
    <w:rsid w:val="0007758D"/>
    <w:rsid w:val="00077E7A"/>
    <w:rsid w:val="00077F31"/>
    <w:rsid w:val="0008027E"/>
    <w:rsid w:val="000803CB"/>
    <w:rsid w:val="0008041E"/>
    <w:rsid w:val="0008087C"/>
    <w:rsid w:val="00080D8D"/>
    <w:rsid w:val="0008145B"/>
    <w:rsid w:val="000814CA"/>
    <w:rsid w:val="0008171A"/>
    <w:rsid w:val="0008184D"/>
    <w:rsid w:val="00081972"/>
    <w:rsid w:val="00081B19"/>
    <w:rsid w:val="00081CEE"/>
    <w:rsid w:val="00081D2F"/>
    <w:rsid w:val="00081F67"/>
    <w:rsid w:val="00082050"/>
    <w:rsid w:val="0008211B"/>
    <w:rsid w:val="0008221A"/>
    <w:rsid w:val="00082278"/>
    <w:rsid w:val="0008237A"/>
    <w:rsid w:val="00082380"/>
    <w:rsid w:val="00082482"/>
    <w:rsid w:val="00082646"/>
    <w:rsid w:val="00082CC8"/>
    <w:rsid w:val="00082E9B"/>
    <w:rsid w:val="00082F44"/>
    <w:rsid w:val="000831D6"/>
    <w:rsid w:val="000833B4"/>
    <w:rsid w:val="000836D5"/>
    <w:rsid w:val="00083703"/>
    <w:rsid w:val="000837CE"/>
    <w:rsid w:val="00083BAE"/>
    <w:rsid w:val="0008402D"/>
    <w:rsid w:val="00084155"/>
    <w:rsid w:val="000841B4"/>
    <w:rsid w:val="00084388"/>
    <w:rsid w:val="000845DD"/>
    <w:rsid w:val="00084669"/>
    <w:rsid w:val="0008471E"/>
    <w:rsid w:val="000849A8"/>
    <w:rsid w:val="00084CF5"/>
    <w:rsid w:val="00084D05"/>
    <w:rsid w:val="00084D58"/>
    <w:rsid w:val="00084E8F"/>
    <w:rsid w:val="00084F96"/>
    <w:rsid w:val="00085076"/>
    <w:rsid w:val="0008514A"/>
    <w:rsid w:val="000852FB"/>
    <w:rsid w:val="00085467"/>
    <w:rsid w:val="00085C24"/>
    <w:rsid w:val="00085D0F"/>
    <w:rsid w:val="00086459"/>
    <w:rsid w:val="00086630"/>
    <w:rsid w:val="000867C8"/>
    <w:rsid w:val="00086913"/>
    <w:rsid w:val="00086EB1"/>
    <w:rsid w:val="00086F2F"/>
    <w:rsid w:val="00086FFF"/>
    <w:rsid w:val="000872B9"/>
    <w:rsid w:val="000876D9"/>
    <w:rsid w:val="00087761"/>
    <w:rsid w:val="0008785B"/>
    <w:rsid w:val="00087B89"/>
    <w:rsid w:val="00087C76"/>
    <w:rsid w:val="00087ED1"/>
    <w:rsid w:val="00087EFC"/>
    <w:rsid w:val="000900AB"/>
    <w:rsid w:val="000901AB"/>
    <w:rsid w:val="0009032E"/>
    <w:rsid w:val="0009051C"/>
    <w:rsid w:val="00090C95"/>
    <w:rsid w:val="00090DDB"/>
    <w:rsid w:val="00090DF6"/>
    <w:rsid w:val="00090F59"/>
    <w:rsid w:val="000913FA"/>
    <w:rsid w:val="00091623"/>
    <w:rsid w:val="0009173A"/>
    <w:rsid w:val="00091886"/>
    <w:rsid w:val="00092102"/>
    <w:rsid w:val="0009214A"/>
    <w:rsid w:val="00092249"/>
    <w:rsid w:val="00092A6F"/>
    <w:rsid w:val="00092CA7"/>
    <w:rsid w:val="00092E82"/>
    <w:rsid w:val="00093101"/>
    <w:rsid w:val="00093222"/>
    <w:rsid w:val="0009377E"/>
    <w:rsid w:val="0009387B"/>
    <w:rsid w:val="00093EAA"/>
    <w:rsid w:val="000942FF"/>
    <w:rsid w:val="00094C06"/>
    <w:rsid w:val="00094ECE"/>
    <w:rsid w:val="00094F4F"/>
    <w:rsid w:val="00095421"/>
    <w:rsid w:val="0009569E"/>
    <w:rsid w:val="00095A66"/>
    <w:rsid w:val="00095AF3"/>
    <w:rsid w:val="00095DD4"/>
    <w:rsid w:val="0009665A"/>
    <w:rsid w:val="00096AD5"/>
    <w:rsid w:val="000971CE"/>
    <w:rsid w:val="0009768D"/>
    <w:rsid w:val="0009778E"/>
    <w:rsid w:val="00097B02"/>
    <w:rsid w:val="000A0075"/>
    <w:rsid w:val="000A04D3"/>
    <w:rsid w:val="000A04DA"/>
    <w:rsid w:val="000A0DA9"/>
    <w:rsid w:val="000A102A"/>
    <w:rsid w:val="000A1265"/>
    <w:rsid w:val="000A1532"/>
    <w:rsid w:val="000A2157"/>
    <w:rsid w:val="000A2454"/>
    <w:rsid w:val="000A26E3"/>
    <w:rsid w:val="000A28AE"/>
    <w:rsid w:val="000A2983"/>
    <w:rsid w:val="000A2F6C"/>
    <w:rsid w:val="000A336F"/>
    <w:rsid w:val="000A33BD"/>
    <w:rsid w:val="000A35BC"/>
    <w:rsid w:val="000A36D8"/>
    <w:rsid w:val="000A379E"/>
    <w:rsid w:val="000A3BF8"/>
    <w:rsid w:val="000A3D18"/>
    <w:rsid w:val="000A3D96"/>
    <w:rsid w:val="000A4485"/>
    <w:rsid w:val="000A475C"/>
    <w:rsid w:val="000A4F71"/>
    <w:rsid w:val="000A4F8D"/>
    <w:rsid w:val="000A50C2"/>
    <w:rsid w:val="000A53BB"/>
    <w:rsid w:val="000A552F"/>
    <w:rsid w:val="000A5B8B"/>
    <w:rsid w:val="000A5DF5"/>
    <w:rsid w:val="000A5E2B"/>
    <w:rsid w:val="000A5FB6"/>
    <w:rsid w:val="000A64B4"/>
    <w:rsid w:val="000A6825"/>
    <w:rsid w:val="000A68A3"/>
    <w:rsid w:val="000A6E85"/>
    <w:rsid w:val="000A728A"/>
    <w:rsid w:val="000A72C5"/>
    <w:rsid w:val="000A74D8"/>
    <w:rsid w:val="000A751E"/>
    <w:rsid w:val="000A7985"/>
    <w:rsid w:val="000B08D8"/>
    <w:rsid w:val="000B0CEE"/>
    <w:rsid w:val="000B0D10"/>
    <w:rsid w:val="000B1118"/>
    <w:rsid w:val="000B1625"/>
    <w:rsid w:val="000B19A7"/>
    <w:rsid w:val="000B19FB"/>
    <w:rsid w:val="000B1D3E"/>
    <w:rsid w:val="000B229B"/>
    <w:rsid w:val="000B258A"/>
    <w:rsid w:val="000B2909"/>
    <w:rsid w:val="000B2A4D"/>
    <w:rsid w:val="000B2B11"/>
    <w:rsid w:val="000B2B21"/>
    <w:rsid w:val="000B30F6"/>
    <w:rsid w:val="000B3516"/>
    <w:rsid w:val="000B353A"/>
    <w:rsid w:val="000B36DF"/>
    <w:rsid w:val="000B392B"/>
    <w:rsid w:val="000B3A16"/>
    <w:rsid w:val="000B3B78"/>
    <w:rsid w:val="000B3BF7"/>
    <w:rsid w:val="000B41CC"/>
    <w:rsid w:val="000B44DB"/>
    <w:rsid w:val="000B454D"/>
    <w:rsid w:val="000B4798"/>
    <w:rsid w:val="000B4A6A"/>
    <w:rsid w:val="000B4E90"/>
    <w:rsid w:val="000B4F4B"/>
    <w:rsid w:val="000B5019"/>
    <w:rsid w:val="000B50BD"/>
    <w:rsid w:val="000B5148"/>
    <w:rsid w:val="000B5328"/>
    <w:rsid w:val="000B54A5"/>
    <w:rsid w:val="000B556A"/>
    <w:rsid w:val="000B563D"/>
    <w:rsid w:val="000B5942"/>
    <w:rsid w:val="000B5CC0"/>
    <w:rsid w:val="000B5D52"/>
    <w:rsid w:val="000B5F16"/>
    <w:rsid w:val="000B605F"/>
    <w:rsid w:val="000B61CD"/>
    <w:rsid w:val="000B6503"/>
    <w:rsid w:val="000B6DF7"/>
    <w:rsid w:val="000B6EBD"/>
    <w:rsid w:val="000B719E"/>
    <w:rsid w:val="000B72EB"/>
    <w:rsid w:val="000B75CC"/>
    <w:rsid w:val="000B7EB5"/>
    <w:rsid w:val="000C0129"/>
    <w:rsid w:val="000C02E2"/>
    <w:rsid w:val="000C0461"/>
    <w:rsid w:val="000C04E8"/>
    <w:rsid w:val="000C050F"/>
    <w:rsid w:val="000C07E8"/>
    <w:rsid w:val="000C0837"/>
    <w:rsid w:val="000C08FE"/>
    <w:rsid w:val="000C0E64"/>
    <w:rsid w:val="000C16EE"/>
    <w:rsid w:val="000C1831"/>
    <w:rsid w:val="000C20F4"/>
    <w:rsid w:val="000C264C"/>
    <w:rsid w:val="000C269A"/>
    <w:rsid w:val="000C276E"/>
    <w:rsid w:val="000C27BF"/>
    <w:rsid w:val="000C2852"/>
    <w:rsid w:val="000C28B7"/>
    <w:rsid w:val="000C2A76"/>
    <w:rsid w:val="000C2A85"/>
    <w:rsid w:val="000C2F40"/>
    <w:rsid w:val="000C3004"/>
    <w:rsid w:val="000C326E"/>
    <w:rsid w:val="000C3307"/>
    <w:rsid w:val="000C343A"/>
    <w:rsid w:val="000C356E"/>
    <w:rsid w:val="000C37A3"/>
    <w:rsid w:val="000C38A5"/>
    <w:rsid w:val="000C3B45"/>
    <w:rsid w:val="000C3CFF"/>
    <w:rsid w:val="000C3E5B"/>
    <w:rsid w:val="000C3EC1"/>
    <w:rsid w:val="000C434C"/>
    <w:rsid w:val="000C4A67"/>
    <w:rsid w:val="000C4C05"/>
    <w:rsid w:val="000C4D31"/>
    <w:rsid w:val="000C4E8A"/>
    <w:rsid w:val="000C4F35"/>
    <w:rsid w:val="000C52ED"/>
    <w:rsid w:val="000C53FE"/>
    <w:rsid w:val="000C54F0"/>
    <w:rsid w:val="000C55D4"/>
    <w:rsid w:val="000C56D0"/>
    <w:rsid w:val="000C56D7"/>
    <w:rsid w:val="000C57CD"/>
    <w:rsid w:val="000C58A2"/>
    <w:rsid w:val="000C58A4"/>
    <w:rsid w:val="000C59BB"/>
    <w:rsid w:val="000C5BEE"/>
    <w:rsid w:val="000C5EA0"/>
    <w:rsid w:val="000C5F2F"/>
    <w:rsid w:val="000C5F6A"/>
    <w:rsid w:val="000C6179"/>
    <w:rsid w:val="000C619F"/>
    <w:rsid w:val="000C61B3"/>
    <w:rsid w:val="000C624C"/>
    <w:rsid w:val="000C62AC"/>
    <w:rsid w:val="000C64DE"/>
    <w:rsid w:val="000C65C1"/>
    <w:rsid w:val="000C6A70"/>
    <w:rsid w:val="000C6ADA"/>
    <w:rsid w:val="000C6B21"/>
    <w:rsid w:val="000C6F2A"/>
    <w:rsid w:val="000C71B1"/>
    <w:rsid w:val="000C722F"/>
    <w:rsid w:val="000C7414"/>
    <w:rsid w:val="000C7568"/>
    <w:rsid w:val="000C775E"/>
    <w:rsid w:val="000C7B52"/>
    <w:rsid w:val="000C7D57"/>
    <w:rsid w:val="000C7EC9"/>
    <w:rsid w:val="000D035E"/>
    <w:rsid w:val="000D061A"/>
    <w:rsid w:val="000D06C8"/>
    <w:rsid w:val="000D0780"/>
    <w:rsid w:val="000D08C9"/>
    <w:rsid w:val="000D0B5C"/>
    <w:rsid w:val="000D0C19"/>
    <w:rsid w:val="000D1537"/>
    <w:rsid w:val="000D1693"/>
    <w:rsid w:val="000D18E6"/>
    <w:rsid w:val="000D1B25"/>
    <w:rsid w:val="000D1BB0"/>
    <w:rsid w:val="000D1D26"/>
    <w:rsid w:val="000D1DD6"/>
    <w:rsid w:val="000D1DFC"/>
    <w:rsid w:val="000D1F95"/>
    <w:rsid w:val="000D24F1"/>
    <w:rsid w:val="000D2537"/>
    <w:rsid w:val="000D28C3"/>
    <w:rsid w:val="000D2AB6"/>
    <w:rsid w:val="000D2BD4"/>
    <w:rsid w:val="000D2C5B"/>
    <w:rsid w:val="000D353A"/>
    <w:rsid w:val="000D37F6"/>
    <w:rsid w:val="000D3A91"/>
    <w:rsid w:val="000D4192"/>
    <w:rsid w:val="000D472B"/>
    <w:rsid w:val="000D4742"/>
    <w:rsid w:val="000D47F0"/>
    <w:rsid w:val="000D4A83"/>
    <w:rsid w:val="000D4CAC"/>
    <w:rsid w:val="000D501E"/>
    <w:rsid w:val="000D5176"/>
    <w:rsid w:val="000D5599"/>
    <w:rsid w:val="000D563F"/>
    <w:rsid w:val="000D5654"/>
    <w:rsid w:val="000D5833"/>
    <w:rsid w:val="000D5B3F"/>
    <w:rsid w:val="000D5EB8"/>
    <w:rsid w:val="000D6192"/>
    <w:rsid w:val="000D6228"/>
    <w:rsid w:val="000D6308"/>
    <w:rsid w:val="000D6412"/>
    <w:rsid w:val="000D650B"/>
    <w:rsid w:val="000D6813"/>
    <w:rsid w:val="000D690B"/>
    <w:rsid w:val="000D6927"/>
    <w:rsid w:val="000D692C"/>
    <w:rsid w:val="000D6A7A"/>
    <w:rsid w:val="000D6BE1"/>
    <w:rsid w:val="000D730A"/>
    <w:rsid w:val="000D7594"/>
    <w:rsid w:val="000D773F"/>
    <w:rsid w:val="000D7929"/>
    <w:rsid w:val="000D7B68"/>
    <w:rsid w:val="000D7D02"/>
    <w:rsid w:val="000D7DFF"/>
    <w:rsid w:val="000E0050"/>
    <w:rsid w:val="000E032B"/>
    <w:rsid w:val="000E03CB"/>
    <w:rsid w:val="000E050C"/>
    <w:rsid w:val="000E054A"/>
    <w:rsid w:val="000E068B"/>
    <w:rsid w:val="000E0C7F"/>
    <w:rsid w:val="000E1116"/>
    <w:rsid w:val="000E1382"/>
    <w:rsid w:val="000E138E"/>
    <w:rsid w:val="000E149F"/>
    <w:rsid w:val="000E159E"/>
    <w:rsid w:val="000E1BCB"/>
    <w:rsid w:val="000E1F9C"/>
    <w:rsid w:val="000E20A6"/>
    <w:rsid w:val="000E216D"/>
    <w:rsid w:val="000E21CE"/>
    <w:rsid w:val="000E22BF"/>
    <w:rsid w:val="000E32A1"/>
    <w:rsid w:val="000E32D7"/>
    <w:rsid w:val="000E3696"/>
    <w:rsid w:val="000E3793"/>
    <w:rsid w:val="000E3834"/>
    <w:rsid w:val="000E3C36"/>
    <w:rsid w:val="000E3CA4"/>
    <w:rsid w:val="000E3E77"/>
    <w:rsid w:val="000E420D"/>
    <w:rsid w:val="000E436D"/>
    <w:rsid w:val="000E4516"/>
    <w:rsid w:val="000E4702"/>
    <w:rsid w:val="000E47E1"/>
    <w:rsid w:val="000E4C37"/>
    <w:rsid w:val="000E4C64"/>
    <w:rsid w:val="000E4C94"/>
    <w:rsid w:val="000E4D5C"/>
    <w:rsid w:val="000E500B"/>
    <w:rsid w:val="000E5110"/>
    <w:rsid w:val="000E5483"/>
    <w:rsid w:val="000E54DD"/>
    <w:rsid w:val="000E591B"/>
    <w:rsid w:val="000E5CA6"/>
    <w:rsid w:val="000E5FC5"/>
    <w:rsid w:val="000E61DD"/>
    <w:rsid w:val="000E686F"/>
    <w:rsid w:val="000E6893"/>
    <w:rsid w:val="000E6A60"/>
    <w:rsid w:val="000E75CA"/>
    <w:rsid w:val="000E75FC"/>
    <w:rsid w:val="000E7662"/>
    <w:rsid w:val="000E7B4B"/>
    <w:rsid w:val="000E7C24"/>
    <w:rsid w:val="000F00F4"/>
    <w:rsid w:val="000F02E8"/>
    <w:rsid w:val="000F04CA"/>
    <w:rsid w:val="000F07AB"/>
    <w:rsid w:val="000F0AD5"/>
    <w:rsid w:val="000F0ADB"/>
    <w:rsid w:val="000F0FEB"/>
    <w:rsid w:val="000F10DE"/>
    <w:rsid w:val="000F117D"/>
    <w:rsid w:val="000F14B3"/>
    <w:rsid w:val="000F14FB"/>
    <w:rsid w:val="000F16D2"/>
    <w:rsid w:val="000F189C"/>
    <w:rsid w:val="000F19EA"/>
    <w:rsid w:val="000F1AB4"/>
    <w:rsid w:val="000F1CBB"/>
    <w:rsid w:val="000F1D2A"/>
    <w:rsid w:val="000F1F5B"/>
    <w:rsid w:val="000F2246"/>
    <w:rsid w:val="000F24BF"/>
    <w:rsid w:val="000F24FE"/>
    <w:rsid w:val="000F2E8E"/>
    <w:rsid w:val="000F31E2"/>
    <w:rsid w:val="000F32FF"/>
    <w:rsid w:val="000F3820"/>
    <w:rsid w:val="000F396E"/>
    <w:rsid w:val="000F3ABB"/>
    <w:rsid w:val="000F3CAA"/>
    <w:rsid w:val="000F4135"/>
    <w:rsid w:val="000F413F"/>
    <w:rsid w:val="000F4303"/>
    <w:rsid w:val="000F45F1"/>
    <w:rsid w:val="000F4DD7"/>
    <w:rsid w:val="000F5141"/>
    <w:rsid w:val="000F539A"/>
    <w:rsid w:val="000F5710"/>
    <w:rsid w:val="000F5B3C"/>
    <w:rsid w:val="000F5CBB"/>
    <w:rsid w:val="000F5E30"/>
    <w:rsid w:val="000F64B1"/>
    <w:rsid w:val="000F6531"/>
    <w:rsid w:val="000F6679"/>
    <w:rsid w:val="000F68D9"/>
    <w:rsid w:val="000F6D7D"/>
    <w:rsid w:val="000F7115"/>
    <w:rsid w:val="000F7389"/>
    <w:rsid w:val="000F73D6"/>
    <w:rsid w:val="000F74B4"/>
    <w:rsid w:val="000F74D2"/>
    <w:rsid w:val="000F7ACC"/>
    <w:rsid w:val="000F7B50"/>
    <w:rsid w:val="000F7E8A"/>
    <w:rsid w:val="00100250"/>
    <w:rsid w:val="001006C7"/>
    <w:rsid w:val="00100DAE"/>
    <w:rsid w:val="001014C7"/>
    <w:rsid w:val="00101B0B"/>
    <w:rsid w:val="00101E9E"/>
    <w:rsid w:val="00101EDA"/>
    <w:rsid w:val="00101F55"/>
    <w:rsid w:val="0010219B"/>
    <w:rsid w:val="00102507"/>
    <w:rsid w:val="00102AD4"/>
    <w:rsid w:val="00102D3D"/>
    <w:rsid w:val="00102E6A"/>
    <w:rsid w:val="00102EF7"/>
    <w:rsid w:val="00102FDC"/>
    <w:rsid w:val="00103278"/>
    <w:rsid w:val="00103514"/>
    <w:rsid w:val="001038FC"/>
    <w:rsid w:val="00103AD0"/>
    <w:rsid w:val="001041C7"/>
    <w:rsid w:val="001042BD"/>
    <w:rsid w:val="0010439E"/>
    <w:rsid w:val="001045EF"/>
    <w:rsid w:val="001047DD"/>
    <w:rsid w:val="00104B9D"/>
    <w:rsid w:val="00104C98"/>
    <w:rsid w:val="00104ED1"/>
    <w:rsid w:val="0010552D"/>
    <w:rsid w:val="001059F9"/>
    <w:rsid w:val="00105C54"/>
    <w:rsid w:val="00105D59"/>
    <w:rsid w:val="00105F16"/>
    <w:rsid w:val="001061A4"/>
    <w:rsid w:val="001062F9"/>
    <w:rsid w:val="001067BE"/>
    <w:rsid w:val="00106A46"/>
    <w:rsid w:val="00106ECD"/>
    <w:rsid w:val="0010717D"/>
    <w:rsid w:val="001072B5"/>
    <w:rsid w:val="0010736A"/>
    <w:rsid w:val="00107473"/>
    <w:rsid w:val="001074CD"/>
    <w:rsid w:val="00107520"/>
    <w:rsid w:val="00107687"/>
    <w:rsid w:val="0010786A"/>
    <w:rsid w:val="00107ACC"/>
    <w:rsid w:val="00107B86"/>
    <w:rsid w:val="00110287"/>
    <w:rsid w:val="00110307"/>
    <w:rsid w:val="001104C7"/>
    <w:rsid w:val="00110514"/>
    <w:rsid w:val="001108A1"/>
    <w:rsid w:val="001109F8"/>
    <w:rsid w:val="00110A84"/>
    <w:rsid w:val="00110C60"/>
    <w:rsid w:val="00111238"/>
    <w:rsid w:val="001119C8"/>
    <w:rsid w:val="00111A7C"/>
    <w:rsid w:val="001121B6"/>
    <w:rsid w:val="001126B6"/>
    <w:rsid w:val="001127A2"/>
    <w:rsid w:val="00112ED7"/>
    <w:rsid w:val="00113376"/>
    <w:rsid w:val="001133C4"/>
    <w:rsid w:val="001133D3"/>
    <w:rsid w:val="0011357A"/>
    <w:rsid w:val="00113634"/>
    <w:rsid w:val="0011368D"/>
    <w:rsid w:val="00113D3D"/>
    <w:rsid w:val="00113D96"/>
    <w:rsid w:val="00113F3C"/>
    <w:rsid w:val="00113FFB"/>
    <w:rsid w:val="001141DF"/>
    <w:rsid w:val="00114294"/>
    <w:rsid w:val="00114719"/>
    <w:rsid w:val="00114B6C"/>
    <w:rsid w:val="0011539B"/>
    <w:rsid w:val="00115537"/>
    <w:rsid w:val="001158C8"/>
    <w:rsid w:val="00115C2F"/>
    <w:rsid w:val="00115C4D"/>
    <w:rsid w:val="00115DFB"/>
    <w:rsid w:val="00115FB2"/>
    <w:rsid w:val="001161EC"/>
    <w:rsid w:val="00116594"/>
    <w:rsid w:val="001165EF"/>
    <w:rsid w:val="001165FF"/>
    <w:rsid w:val="001168EA"/>
    <w:rsid w:val="00116AB8"/>
    <w:rsid w:val="00116B75"/>
    <w:rsid w:val="00116C7C"/>
    <w:rsid w:val="00116EE9"/>
    <w:rsid w:val="00117199"/>
    <w:rsid w:val="0011719A"/>
    <w:rsid w:val="0011779E"/>
    <w:rsid w:val="00117840"/>
    <w:rsid w:val="00117845"/>
    <w:rsid w:val="00117B64"/>
    <w:rsid w:val="00117DCE"/>
    <w:rsid w:val="00117F83"/>
    <w:rsid w:val="001202E6"/>
    <w:rsid w:val="0012031E"/>
    <w:rsid w:val="001204DC"/>
    <w:rsid w:val="001206C8"/>
    <w:rsid w:val="00120842"/>
    <w:rsid w:val="00120DBD"/>
    <w:rsid w:val="0012110D"/>
    <w:rsid w:val="00121174"/>
    <w:rsid w:val="00121652"/>
    <w:rsid w:val="00121A4B"/>
    <w:rsid w:val="00121B1D"/>
    <w:rsid w:val="00121E52"/>
    <w:rsid w:val="0012203B"/>
    <w:rsid w:val="001220DA"/>
    <w:rsid w:val="0012227A"/>
    <w:rsid w:val="0012230F"/>
    <w:rsid w:val="001225A0"/>
    <w:rsid w:val="00122943"/>
    <w:rsid w:val="00122DDB"/>
    <w:rsid w:val="001230BD"/>
    <w:rsid w:val="00123145"/>
    <w:rsid w:val="00123307"/>
    <w:rsid w:val="00123525"/>
    <w:rsid w:val="00123E32"/>
    <w:rsid w:val="00123F82"/>
    <w:rsid w:val="00124148"/>
    <w:rsid w:val="0012434F"/>
    <w:rsid w:val="001243A2"/>
    <w:rsid w:val="00124589"/>
    <w:rsid w:val="0012472E"/>
    <w:rsid w:val="00124779"/>
    <w:rsid w:val="00124A2B"/>
    <w:rsid w:val="00124BEA"/>
    <w:rsid w:val="00124D6B"/>
    <w:rsid w:val="00125175"/>
    <w:rsid w:val="00125476"/>
    <w:rsid w:val="001256B6"/>
    <w:rsid w:val="001257B7"/>
    <w:rsid w:val="00125860"/>
    <w:rsid w:val="00125E26"/>
    <w:rsid w:val="00125F72"/>
    <w:rsid w:val="001260A9"/>
    <w:rsid w:val="0012652B"/>
    <w:rsid w:val="001265F5"/>
    <w:rsid w:val="00126AEA"/>
    <w:rsid w:val="00126B44"/>
    <w:rsid w:val="00126D1B"/>
    <w:rsid w:val="001270C0"/>
    <w:rsid w:val="001276E6"/>
    <w:rsid w:val="00127D71"/>
    <w:rsid w:val="00130158"/>
    <w:rsid w:val="0013039F"/>
    <w:rsid w:val="00130907"/>
    <w:rsid w:val="00130D69"/>
    <w:rsid w:val="00130E1F"/>
    <w:rsid w:val="001311D5"/>
    <w:rsid w:val="00131373"/>
    <w:rsid w:val="00131677"/>
    <w:rsid w:val="00131BA4"/>
    <w:rsid w:val="00131D0E"/>
    <w:rsid w:val="001320B3"/>
    <w:rsid w:val="001320E5"/>
    <w:rsid w:val="001321B3"/>
    <w:rsid w:val="0013239C"/>
    <w:rsid w:val="00132565"/>
    <w:rsid w:val="0013271B"/>
    <w:rsid w:val="00132A78"/>
    <w:rsid w:val="00132E23"/>
    <w:rsid w:val="0013312C"/>
    <w:rsid w:val="00133383"/>
    <w:rsid w:val="001337BC"/>
    <w:rsid w:val="00133936"/>
    <w:rsid w:val="00133B3C"/>
    <w:rsid w:val="00133B7B"/>
    <w:rsid w:val="00133D45"/>
    <w:rsid w:val="0013443D"/>
    <w:rsid w:val="001345F2"/>
    <w:rsid w:val="00134738"/>
    <w:rsid w:val="00134BA2"/>
    <w:rsid w:val="00134E1B"/>
    <w:rsid w:val="00135286"/>
    <w:rsid w:val="0013532F"/>
    <w:rsid w:val="001353AF"/>
    <w:rsid w:val="001355CB"/>
    <w:rsid w:val="001357BE"/>
    <w:rsid w:val="00135968"/>
    <w:rsid w:val="00135BFF"/>
    <w:rsid w:val="0013624A"/>
    <w:rsid w:val="00136275"/>
    <w:rsid w:val="0013629D"/>
    <w:rsid w:val="001362E6"/>
    <w:rsid w:val="00136402"/>
    <w:rsid w:val="00136765"/>
    <w:rsid w:val="00136788"/>
    <w:rsid w:val="00136A10"/>
    <w:rsid w:val="00136AE3"/>
    <w:rsid w:val="00136DAF"/>
    <w:rsid w:val="00136E15"/>
    <w:rsid w:val="00137124"/>
    <w:rsid w:val="00137707"/>
    <w:rsid w:val="00137A4E"/>
    <w:rsid w:val="00137D00"/>
    <w:rsid w:val="00137E50"/>
    <w:rsid w:val="00137EDF"/>
    <w:rsid w:val="00140032"/>
    <w:rsid w:val="001400D5"/>
    <w:rsid w:val="001401BF"/>
    <w:rsid w:val="00140560"/>
    <w:rsid w:val="001407F3"/>
    <w:rsid w:val="00140965"/>
    <w:rsid w:val="001409DB"/>
    <w:rsid w:val="00140ABF"/>
    <w:rsid w:val="00140C19"/>
    <w:rsid w:val="00140C26"/>
    <w:rsid w:val="00140CE0"/>
    <w:rsid w:val="0014176B"/>
    <w:rsid w:val="00141879"/>
    <w:rsid w:val="001418A6"/>
    <w:rsid w:val="001418AA"/>
    <w:rsid w:val="00141AA3"/>
    <w:rsid w:val="00141D8A"/>
    <w:rsid w:val="00141E21"/>
    <w:rsid w:val="0014212D"/>
    <w:rsid w:val="001423E7"/>
    <w:rsid w:val="00142880"/>
    <w:rsid w:val="00142AE0"/>
    <w:rsid w:val="0014305E"/>
    <w:rsid w:val="00143112"/>
    <w:rsid w:val="00143467"/>
    <w:rsid w:val="001435D1"/>
    <w:rsid w:val="00143765"/>
    <w:rsid w:val="00143885"/>
    <w:rsid w:val="00143B7D"/>
    <w:rsid w:val="00143BB3"/>
    <w:rsid w:val="00143D65"/>
    <w:rsid w:val="001444B2"/>
    <w:rsid w:val="00144506"/>
    <w:rsid w:val="00144AF0"/>
    <w:rsid w:val="00144C98"/>
    <w:rsid w:val="00144E0A"/>
    <w:rsid w:val="001450C3"/>
    <w:rsid w:val="0014526E"/>
    <w:rsid w:val="00145672"/>
    <w:rsid w:val="001456CB"/>
    <w:rsid w:val="00145709"/>
    <w:rsid w:val="00145853"/>
    <w:rsid w:val="0014595E"/>
    <w:rsid w:val="00145A37"/>
    <w:rsid w:val="00145ACE"/>
    <w:rsid w:val="00145D40"/>
    <w:rsid w:val="0014620D"/>
    <w:rsid w:val="00146242"/>
    <w:rsid w:val="001465D0"/>
    <w:rsid w:val="001467C3"/>
    <w:rsid w:val="001469E0"/>
    <w:rsid w:val="00146D8F"/>
    <w:rsid w:val="00146DEB"/>
    <w:rsid w:val="00146F64"/>
    <w:rsid w:val="00147187"/>
    <w:rsid w:val="001479BA"/>
    <w:rsid w:val="00147BBA"/>
    <w:rsid w:val="00147FBD"/>
    <w:rsid w:val="001502D9"/>
    <w:rsid w:val="00150413"/>
    <w:rsid w:val="001506AB"/>
    <w:rsid w:val="00150743"/>
    <w:rsid w:val="00150939"/>
    <w:rsid w:val="00150971"/>
    <w:rsid w:val="00151043"/>
    <w:rsid w:val="001510D5"/>
    <w:rsid w:val="001512C4"/>
    <w:rsid w:val="00151786"/>
    <w:rsid w:val="00151CC0"/>
    <w:rsid w:val="00151D44"/>
    <w:rsid w:val="00151F2F"/>
    <w:rsid w:val="001520EF"/>
    <w:rsid w:val="00152245"/>
    <w:rsid w:val="00152386"/>
    <w:rsid w:val="001525BA"/>
    <w:rsid w:val="00152837"/>
    <w:rsid w:val="00153122"/>
    <w:rsid w:val="00153352"/>
    <w:rsid w:val="00153462"/>
    <w:rsid w:val="001536F5"/>
    <w:rsid w:val="001537DA"/>
    <w:rsid w:val="00153892"/>
    <w:rsid w:val="00153DCB"/>
    <w:rsid w:val="0015402F"/>
    <w:rsid w:val="00154257"/>
    <w:rsid w:val="0015450C"/>
    <w:rsid w:val="001549A8"/>
    <w:rsid w:val="00154CC6"/>
    <w:rsid w:val="00155102"/>
    <w:rsid w:val="00155248"/>
    <w:rsid w:val="00155383"/>
    <w:rsid w:val="0015547E"/>
    <w:rsid w:val="001557BA"/>
    <w:rsid w:val="001558B7"/>
    <w:rsid w:val="0015593B"/>
    <w:rsid w:val="001563D0"/>
    <w:rsid w:val="001563FB"/>
    <w:rsid w:val="001565AC"/>
    <w:rsid w:val="001565F2"/>
    <w:rsid w:val="0015674C"/>
    <w:rsid w:val="00156AD1"/>
    <w:rsid w:val="00156DDB"/>
    <w:rsid w:val="00157392"/>
    <w:rsid w:val="001575E6"/>
    <w:rsid w:val="00157899"/>
    <w:rsid w:val="00157A2E"/>
    <w:rsid w:val="00157A8E"/>
    <w:rsid w:val="001600C9"/>
    <w:rsid w:val="00160514"/>
    <w:rsid w:val="00160BBE"/>
    <w:rsid w:val="001610DE"/>
    <w:rsid w:val="001614D3"/>
    <w:rsid w:val="001615E1"/>
    <w:rsid w:val="00161BBA"/>
    <w:rsid w:val="00161E25"/>
    <w:rsid w:val="001623E4"/>
    <w:rsid w:val="001626DC"/>
    <w:rsid w:val="00162801"/>
    <w:rsid w:val="00162BB8"/>
    <w:rsid w:val="00162BDE"/>
    <w:rsid w:val="0016318E"/>
    <w:rsid w:val="001633C1"/>
    <w:rsid w:val="0016356E"/>
    <w:rsid w:val="00163591"/>
    <w:rsid w:val="001638A9"/>
    <w:rsid w:val="001638C6"/>
    <w:rsid w:val="0016405F"/>
    <w:rsid w:val="00164114"/>
    <w:rsid w:val="0016437B"/>
    <w:rsid w:val="00164908"/>
    <w:rsid w:val="001649E5"/>
    <w:rsid w:val="00164EFE"/>
    <w:rsid w:val="001651D4"/>
    <w:rsid w:val="00165238"/>
    <w:rsid w:val="0016558D"/>
    <w:rsid w:val="001659E1"/>
    <w:rsid w:val="00165A00"/>
    <w:rsid w:val="00165C66"/>
    <w:rsid w:val="00165C81"/>
    <w:rsid w:val="00165F88"/>
    <w:rsid w:val="00165FEB"/>
    <w:rsid w:val="001660AC"/>
    <w:rsid w:val="00166129"/>
    <w:rsid w:val="001662AD"/>
    <w:rsid w:val="00166398"/>
    <w:rsid w:val="00166F21"/>
    <w:rsid w:val="001670B5"/>
    <w:rsid w:val="00167254"/>
    <w:rsid w:val="0016748A"/>
    <w:rsid w:val="0016768F"/>
    <w:rsid w:val="001676B2"/>
    <w:rsid w:val="0016791E"/>
    <w:rsid w:val="00167B75"/>
    <w:rsid w:val="00167BA7"/>
    <w:rsid w:val="00167BD1"/>
    <w:rsid w:val="00170491"/>
    <w:rsid w:val="0017059C"/>
    <w:rsid w:val="001706B4"/>
    <w:rsid w:val="00170708"/>
    <w:rsid w:val="0017074A"/>
    <w:rsid w:val="0017084A"/>
    <w:rsid w:val="0017092E"/>
    <w:rsid w:val="001716B1"/>
    <w:rsid w:val="0017190A"/>
    <w:rsid w:val="00171AF5"/>
    <w:rsid w:val="0017215A"/>
    <w:rsid w:val="0017225D"/>
    <w:rsid w:val="0017248D"/>
    <w:rsid w:val="00172BAB"/>
    <w:rsid w:val="00172FD3"/>
    <w:rsid w:val="0017307A"/>
    <w:rsid w:val="001732CE"/>
    <w:rsid w:val="001734A0"/>
    <w:rsid w:val="0017360D"/>
    <w:rsid w:val="001738D8"/>
    <w:rsid w:val="0017392A"/>
    <w:rsid w:val="00173948"/>
    <w:rsid w:val="00173B88"/>
    <w:rsid w:val="00173F41"/>
    <w:rsid w:val="001742F1"/>
    <w:rsid w:val="001742F8"/>
    <w:rsid w:val="001743CE"/>
    <w:rsid w:val="00174566"/>
    <w:rsid w:val="00174639"/>
    <w:rsid w:val="001747FD"/>
    <w:rsid w:val="00175119"/>
    <w:rsid w:val="0017541F"/>
    <w:rsid w:val="00175683"/>
    <w:rsid w:val="00176574"/>
    <w:rsid w:val="0017659F"/>
    <w:rsid w:val="00176789"/>
    <w:rsid w:val="0017682C"/>
    <w:rsid w:val="00176C89"/>
    <w:rsid w:val="00177314"/>
    <w:rsid w:val="001773ED"/>
    <w:rsid w:val="00177460"/>
    <w:rsid w:val="0017774E"/>
    <w:rsid w:val="00177777"/>
    <w:rsid w:val="00177A5B"/>
    <w:rsid w:val="00177D46"/>
    <w:rsid w:val="00177DE0"/>
    <w:rsid w:val="00180235"/>
    <w:rsid w:val="001806BB"/>
    <w:rsid w:val="001807B0"/>
    <w:rsid w:val="001807DD"/>
    <w:rsid w:val="001807F5"/>
    <w:rsid w:val="00180D1A"/>
    <w:rsid w:val="00181B3D"/>
    <w:rsid w:val="00181D20"/>
    <w:rsid w:val="00181E57"/>
    <w:rsid w:val="00181F05"/>
    <w:rsid w:val="001820B0"/>
    <w:rsid w:val="001821B2"/>
    <w:rsid w:val="00182221"/>
    <w:rsid w:val="00182320"/>
    <w:rsid w:val="00182535"/>
    <w:rsid w:val="0018290D"/>
    <w:rsid w:val="00182A89"/>
    <w:rsid w:val="00182CEC"/>
    <w:rsid w:val="00183135"/>
    <w:rsid w:val="001832DB"/>
    <w:rsid w:val="00183453"/>
    <w:rsid w:val="001835DF"/>
    <w:rsid w:val="0018369B"/>
    <w:rsid w:val="00183B4C"/>
    <w:rsid w:val="00183B8A"/>
    <w:rsid w:val="00183C0E"/>
    <w:rsid w:val="00183C44"/>
    <w:rsid w:val="00183CAD"/>
    <w:rsid w:val="00183DEB"/>
    <w:rsid w:val="00183E6B"/>
    <w:rsid w:val="00183E9E"/>
    <w:rsid w:val="00184714"/>
    <w:rsid w:val="001848BC"/>
    <w:rsid w:val="00184C63"/>
    <w:rsid w:val="00184EFD"/>
    <w:rsid w:val="00184F70"/>
    <w:rsid w:val="001853CC"/>
    <w:rsid w:val="00185531"/>
    <w:rsid w:val="00185564"/>
    <w:rsid w:val="00185616"/>
    <w:rsid w:val="001858FC"/>
    <w:rsid w:val="00185907"/>
    <w:rsid w:val="00185A30"/>
    <w:rsid w:val="00185D80"/>
    <w:rsid w:val="00185DEF"/>
    <w:rsid w:val="00186083"/>
    <w:rsid w:val="001860BB"/>
    <w:rsid w:val="001860EE"/>
    <w:rsid w:val="00186278"/>
    <w:rsid w:val="00186A45"/>
    <w:rsid w:val="00186A52"/>
    <w:rsid w:val="00186AF2"/>
    <w:rsid w:val="00187569"/>
    <w:rsid w:val="001876EC"/>
    <w:rsid w:val="00187B9C"/>
    <w:rsid w:val="0019011F"/>
    <w:rsid w:val="0019012F"/>
    <w:rsid w:val="00190893"/>
    <w:rsid w:val="001908C5"/>
    <w:rsid w:val="00190987"/>
    <w:rsid w:val="00190E83"/>
    <w:rsid w:val="001910AF"/>
    <w:rsid w:val="00191156"/>
    <w:rsid w:val="00191272"/>
    <w:rsid w:val="001912DC"/>
    <w:rsid w:val="00191331"/>
    <w:rsid w:val="00191649"/>
    <w:rsid w:val="00191804"/>
    <w:rsid w:val="0019190F"/>
    <w:rsid w:val="001919C2"/>
    <w:rsid w:val="00191EB0"/>
    <w:rsid w:val="00192430"/>
    <w:rsid w:val="001926B2"/>
    <w:rsid w:val="001928F8"/>
    <w:rsid w:val="00192C3B"/>
    <w:rsid w:val="00192E05"/>
    <w:rsid w:val="00193047"/>
    <w:rsid w:val="00193389"/>
    <w:rsid w:val="00193A99"/>
    <w:rsid w:val="00193D97"/>
    <w:rsid w:val="00193ECD"/>
    <w:rsid w:val="001941B9"/>
    <w:rsid w:val="001942CA"/>
    <w:rsid w:val="00194427"/>
    <w:rsid w:val="00194ADB"/>
    <w:rsid w:val="00194BFD"/>
    <w:rsid w:val="0019577B"/>
    <w:rsid w:val="00195853"/>
    <w:rsid w:val="00195C76"/>
    <w:rsid w:val="00195CBE"/>
    <w:rsid w:val="00195DE9"/>
    <w:rsid w:val="00195F33"/>
    <w:rsid w:val="0019614A"/>
    <w:rsid w:val="0019648B"/>
    <w:rsid w:val="001965F8"/>
    <w:rsid w:val="001969AD"/>
    <w:rsid w:val="00197178"/>
    <w:rsid w:val="001971A8"/>
    <w:rsid w:val="0019724F"/>
    <w:rsid w:val="0019752C"/>
    <w:rsid w:val="0019784E"/>
    <w:rsid w:val="00197AB5"/>
    <w:rsid w:val="00197B01"/>
    <w:rsid w:val="00197CE9"/>
    <w:rsid w:val="00197F19"/>
    <w:rsid w:val="001A084B"/>
    <w:rsid w:val="001A0859"/>
    <w:rsid w:val="001A0A17"/>
    <w:rsid w:val="001A0A33"/>
    <w:rsid w:val="001A10A4"/>
    <w:rsid w:val="001A128D"/>
    <w:rsid w:val="001A133D"/>
    <w:rsid w:val="001A1573"/>
    <w:rsid w:val="001A15C3"/>
    <w:rsid w:val="001A1972"/>
    <w:rsid w:val="001A1984"/>
    <w:rsid w:val="001A198C"/>
    <w:rsid w:val="001A20B6"/>
    <w:rsid w:val="001A2126"/>
    <w:rsid w:val="001A23F0"/>
    <w:rsid w:val="001A2522"/>
    <w:rsid w:val="001A26D6"/>
    <w:rsid w:val="001A274F"/>
    <w:rsid w:val="001A285A"/>
    <w:rsid w:val="001A288E"/>
    <w:rsid w:val="001A291A"/>
    <w:rsid w:val="001A2E93"/>
    <w:rsid w:val="001A3788"/>
    <w:rsid w:val="001A37ED"/>
    <w:rsid w:val="001A3FFB"/>
    <w:rsid w:val="001A41C5"/>
    <w:rsid w:val="001A41D7"/>
    <w:rsid w:val="001A4A85"/>
    <w:rsid w:val="001A4C4D"/>
    <w:rsid w:val="001A4CA9"/>
    <w:rsid w:val="001A4E63"/>
    <w:rsid w:val="001A5308"/>
    <w:rsid w:val="001A53E2"/>
    <w:rsid w:val="001A57FE"/>
    <w:rsid w:val="001A5A1C"/>
    <w:rsid w:val="001A5BFD"/>
    <w:rsid w:val="001A5F0F"/>
    <w:rsid w:val="001A6034"/>
    <w:rsid w:val="001A64D8"/>
    <w:rsid w:val="001A66C1"/>
    <w:rsid w:val="001A6799"/>
    <w:rsid w:val="001A683F"/>
    <w:rsid w:val="001A6DB0"/>
    <w:rsid w:val="001A6EED"/>
    <w:rsid w:val="001A7189"/>
    <w:rsid w:val="001A71D6"/>
    <w:rsid w:val="001A751A"/>
    <w:rsid w:val="001A7625"/>
    <w:rsid w:val="001A78BA"/>
    <w:rsid w:val="001A7BAB"/>
    <w:rsid w:val="001B0242"/>
    <w:rsid w:val="001B034E"/>
    <w:rsid w:val="001B0388"/>
    <w:rsid w:val="001B0CE3"/>
    <w:rsid w:val="001B16E0"/>
    <w:rsid w:val="001B16EF"/>
    <w:rsid w:val="001B1904"/>
    <w:rsid w:val="001B1D84"/>
    <w:rsid w:val="001B200A"/>
    <w:rsid w:val="001B2723"/>
    <w:rsid w:val="001B2919"/>
    <w:rsid w:val="001B2D52"/>
    <w:rsid w:val="001B3064"/>
    <w:rsid w:val="001B30DD"/>
    <w:rsid w:val="001B32C3"/>
    <w:rsid w:val="001B32D2"/>
    <w:rsid w:val="001B3449"/>
    <w:rsid w:val="001B38A9"/>
    <w:rsid w:val="001B3BF4"/>
    <w:rsid w:val="001B407F"/>
    <w:rsid w:val="001B4219"/>
    <w:rsid w:val="001B449B"/>
    <w:rsid w:val="001B4755"/>
    <w:rsid w:val="001B48B0"/>
    <w:rsid w:val="001B4926"/>
    <w:rsid w:val="001B494A"/>
    <w:rsid w:val="001B4984"/>
    <w:rsid w:val="001B499F"/>
    <w:rsid w:val="001B4F89"/>
    <w:rsid w:val="001B51DF"/>
    <w:rsid w:val="001B5403"/>
    <w:rsid w:val="001B56ED"/>
    <w:rsid w:val="001B5B11"/>
    <w:rsid w:val="001B64C0"/>
    <w:rsid w:val="001B665E"/>
    <w:rsid w:val="001B6682"/>
    <w:rsid w:val="001B674F"/>
    <w:rsid w:val="001B6B20"/>
    <w:rsid w:val="001B6CF7"/>
    <w:rsid w:val="001B6E5A"/>
    <w:rsid w:val="001B75F9"/>
    <w:rsid w:val="001B75FA"/>
    <w:rsid w:val="001B76C1"/>
    <w:rsid w:val="001B779D"/>
    <w:rsid w:val="001B77FB"/>
    <w:rsid w:val="001C00EF"/>
    <w:rsid w:val="001C01D7"/>
    <w:rsid w:val="001C0755"/>
    <w:rsid w:val="001C0F71"/>
    <w:rsid w:val="001C0FC5"/>
    <w:rsid w:val="001C14F6"/>
    <w:rsid w:val="001C1678"/>
    <w:rsid w:val="001C16FF"/>
    <w:rsid w:val="001C1882"/>
    <w:rsid w:val="001C1D1F"/>
    <w:rsid w:val="001C1D9E"/>
    <w:rsid w:val="001C23CD"/>
    <w:rsid w:val="001C26F0"/>
    <w:rsid w:val="001C28A8"/>
    <w:rsid w:val="001C2BB8"/>
    <w:rsid w:val="001C3430"/>
    <w:rsid w:val="001C34FB"/>
    <w:rsid w:val="001C3512"/>
    <w:rsid w:val="001C3537"/>
    <w:rsid w:val="001C3673"/>
    <w:rsid w:val="001C3689"/>
    <w:rsid w:val="001C394C"/>
    <w:rsid w:val="001C3A49"/>
    <w:rsid w:val="001C453B"/>
    <w:rsid w:val="001C4878"/>
    <w:rsid w:val="001C49D3"/>
    <w:rsid w:val="001C4B0C"/>
    <w:rsid w:val="001C52ED"/>
    <w:rsid w:val="001C544B"/>
    <w:rsid w:val="001C55E7"/>
    <w:rsid w:val="001C590C"/>
    <w:rsid w:val="001C5C95"/>
    <w:rsid w:val="001C5D94"/>
    <w:rsid w:val="001C66D1"/>
    <w:rsid w:val="001C66EE"/>
    <w:rsid w:val="001C69A9"/>
    <w:rsid w:val="001C6D25"/>
    <w:rsid w:val="001C7194"/>
    <w:rsid w:val="001C72A3"/>
    <w:rsid w:val="001C740E"/>
    <w:rsid w:val="001C7447"/>
    <w:rsid w:val="001D00A5"/>
    <w:rsid w:val="001D023C"/>
    <w:rsid w:val="001D04E0"/>
    <w:rsid w:val="001D0610"/>
    <w:rsid w:val="001D0710"/>
    <w:rsid w:val="001D0864"/>
    <w:rsid w:val="001D086C"/>
    <w:rsid w:val="001D090D"/>
    <w:rsid w:val="001D0B35"/>
    <w:rsid w:val="001D0EC1"/>
    <w:rsid w:val="001D17A2"/>
    <w:rsid w:val="001D1884"/>
    <w:rsid w:val="001D18BB"/>
    <w:rsid w:val="001D1A8F"/>
    <w:rsid w:val="001D1BE1"/>
    <w:rsid w:val="001D1D0F"/>
    <w:rsid w:val="001D1ED1"/>
    <w:rsid w:val="001D2004"/>
    <w:rsid w:val="001D2290"/>
    <w:rsid w:val="001D2689"/>
    <w:rsid w:val="001D2894"/>
    <w:rsid w:val="001D2DE2"/>
    <w:rsid w:val="001D2E47"/>
    <w:rsid w:val="001D349F"/>
    <w:rsid w:val="001D3506"/>
    <w:rsid w:val="001D3691"/>
    <w:rsid w:val="001D3962"/>
    <w:rsid w:val="001D3C5B"/>
    <w:rsid w:val="001D3D35"/>
    <w:rsid w:val="001D3E4C"/>
    <w:rsid w:val="001D456D"/>
    <w:rsid w:val="001D483C"/>
    <w:rsid w:val="001D4A89"/>
    <w:rsid w:val="001D4AFB"/>
    <w:rsid w:val="001D4B8D"/>
    <w:rsid w:val="001D4BEC"/>
    <w:rsid w:val="001D4D48"/>
    <w:rsid w:val="001D505E"/>
    <w:rsid w:val="001D510E"/>
    <w:rsid w:val="001D5158"/>
    <w:rsid w:val="001D518A"/>
    <w:rsid w:val="001D56EE"/>
    <w:rsid w:val="001D5901"/>
    <w:rsid w:val="001D6228"/>
    <w:rsid w:val="001D658E"/>
    <w:rsid w:val="001D6DBC"/>
    <w:rsid w:val="001D6E39"/>
    <w:rsid w:val="001D75AA"/>
    <w:rsid w:val="001D75BE"/>
    <w:rsid w:val="001D75C8"/>
    <w:rsid w:val="001D79E8"/>
    <w:rsid w:val="001D7F98"/>
    <w:rsid w:val="001E00CE"/>
    <w:rsid w:val="001E05F5"/>
    <w:rsid w:val="001E0BB0"/>
    <w:rsid w:val="001E0BD7"/>
    <w:rsid w:val="001E0C5B"/>
    <w:rsid w:val="001E0F1E"/>
    <w:rsid w:val="001E110C"/>
    <w:rsid w:val="001E1262"/>
    <w:rsid w:val="001E13DA"/>
    <w:rsid w:val="001E1423"/>
    <w:rsid w:val="001E14BB"/>
    <w:rsid w:val="001E1545"/>
    <w:rsid w:val="001E17B9"/>
    <w:rsid w:val="001E184C"/>
    <w:rsid w:val="001E1B7B"/>
    <w:rsid w:val="001E1D99"/>
    <w:rsid w:val="001E2060"/>
    <w:rsid w:val="001E2188"/>
    <w:rsid w:val="001E27A4"/>
    <w:rsid w:val="001E2ED0"/>
    <w:rsid w:val="001E3362"/>
    <w:rsid w:val="001E338B"/>
    <w:rsid w:val="001E34A8"/>
    <w:rsid w:val="001E3686"/>
    <w:rsid w:val="001E398A"/>
    <w:rsid w:val="001E3D5A"/>
    <w:rsid w:val="001E442D"/>
    <w:rsid w:val="001E45DC"/>
    <w:rsid w:val="001E463C"/>
    <w:rsid w:val="001E4821"/>
    <w:rsid w:val="001E48D5"/>
    <w:rsid w:val="001E49C3"/>
    <w:rsid w:val="001E49E6"/>
    <w:rsid w:val="001E4E82"/>
    <w:rsid w:val="001E524E"/>
    <w:rsid w:val="001E5500"/>
    <w:rsid w:val="001E5722"/>
    <w:rsid w:val="001E57A3"/>
    <w:rsid w:val="001E5ADC"/>
    <w:rsid w:val="001E5D57"/>
    <w:rsid w:val="001E5EB7"/>
    <w:rsid w:val="001E628B"/>
    <w:rsid w:val="001E676D"/>
    <w:rsid w:val="001E6A8A"/>
    <w:rsid w:val="001E6B2F"/>
    <w:rsid w:val="001E6CA9"/>
    <w:rsid w:val="001E6D03"/>
    <w:rsid w:val="001E6EAE"/>
    <w:rsid w:val="001E7FB1"/>
    <w:rsid w:val="001F03AD"/>
    <w:rsid w:val="001F0578"/>
    <w:rsid w:val="001F05C7"/>
    <w:rsid w:val="001F0719"/>
    <w:rsid w:val="001F079E"/>
    <w:rsid w:val="001F0855"/>
    <w:rsid w:val="001F0B74"/>
    <w:rsid w:val="001F0F3B"/>
    <w:rsid w:val="001F1565"/>
    <w:rsid w:val="001F170B"/>
    <w:rsid w:val="001F2113"/>
    <w:rsid w:val="001F25ED"/>
    <w:rsid w:val="001F2A63"/>
    <w:rsid w:val="001F2DCF"/>
    <w:rsid w:val="001F3CA2"/>
    <w:rsid w:val="001F3CB6"/>
    <w:rsid w:val="001F3D85"/>
    <w:rsid w:val="001F3D86"/>
    <w:rsid w:val="001F3F10"/>
    <w:rsid w:val="001F418F"/>
    <w:rsid w:val="001F4354"/>
    <w:rsid w:val="001F4894"/>
    <w:rsid w:val="001F4A33"/>
    <w:rsid w:val="001F4E24"/>
    <w:rsid w:val="001F4F06"/>
    <w:rsid w:val="001F4F62"/>
    <w:rsid w:val="001F508E"/>
    <w:rsid w:val="001F50D7"/>
    <w:rsid w:val="001F51EB"/>
    <w:rsid w:val="001F51F5"/>
    <w:rsid w:val="001F5602"/>
    <w:rsid w:val="001F5866"/>
    <w:rsid w:val="001F59B9"/>
    <w:rsid w:val="001F5A63"/>
    <w:rsid w:val="001F5AFA"/>
    <w:rsid w:val="001F5E20"/>
    <w:rsid w:val="001F6203"/>
    <w:rsid w:val="001F63F9"/>
    <w:rsid w:val="001F67CB"/>
    <w:rsid w:val="001F683A"/>
    <w:rsid w:val="001F6DC3"/>
    <w:rsid w:val="001F6FB5"/>
    <w:rsid w:val="001F716B"/>
    <w:rsid w:val="001F7281"/>
    <w:rsid w:val="001F7385"/>
    <w:rsid w:val="001F7535"/>
    <w:rsid w:val="001F797D"/>
    <w:rsid w:val="001F7A51"/>
    <w:rsid w:val="001F7D02"/>
    <w:rsid w:val="00200176"/>
    <w:rsid w:val="002001EC"/>
    <w:rsid w:val="0020089E"/>
    <w:rsid w:val="00200C94"/>
    <w:rsid w:val="00200F9B"/>
    <w:rsid w:val="002013FC"/>
    <w:rsid w:val="00201E2B"/>
    <w:rsid w:val="00202194"/>
    <w:rsid w:val="00202646"/>
    <w:rsid w:val="00202666"/>
    <w:rsid w:val="00202A50"/>
    <w:rsid w:val="00202BEF"/>
    <w:rsid w:val="00202D81"/>
    <w:rsid w:val="00202DE6"/>
    <w:rsid w:val="002036AE"/>
    <w:rsid w:val="00203AA7"/>
    <w:rsid w:val="00203B82"/>
    <w:rsid w:val="00203BC1"/>
    <w:rsid w:val="00203F6B"/>
    <w:rsid w:val="0020465F"/>
    <w:rsid w:val="002048A9"/>
    <w:rsid w:val="00204FCF"/>
    <w:rsid w:val="00205072"/>
    <w:rsid w:val="002051B3"/>
    <w:rsid w:val="0020559B"/>
    <w:rsid w:val="00205911"/>
    <w:rsid w:val="00205A99"/>
    <w:rsid w:val="00205AB3"/>
    <w:rsid w:val="00205BE5"/>
    <w:rsid w:val="002060AA"/>
    <w:rsid w:val="00206287"/>
    <w:rsid w:val="002062DE"/>
    <w:rsid w:val="002063F2"/>
    <w:rsid w:val="0020663C"/>
    <w:rsid w:val="002068C6"/>
    <w:rsid w:val="002069CD"/>
    <w:rsid w:val="00206B12"/>
    <w:rsid w:val="00206B42"/>
    <w:rsid w:val="00206D3B"/>
    <w:rsid w:val="00206F2D"/>
    <w:rsid w:val="00206FA6"/>
    <w:rsid w:val="0020706D"/>
    <w:rsid w:val="0020731B"/>
    <w:rsid w:val="002075A7"/>
    <w:rsid w:val="0020767F"/>
    <w:rsid w:val="002078E9"/>
    <w:rsid w:val="00207D36"/>
    <w:rsid w:val="00207EC3"/>
    <w:rsid w:val="002100CD"/>
    <w:rsid w:val="0021019C"/>
    <w:rsid w:val="00210F52"/>
    <w:rsid w:val="00210FA6"/>
    <w:rsid w:val="002110DF"/>
    <w:rsid w:val="002110E4"/>
    <w:rsid w:val="0021135E"/>
    <w:rsid w:val="00211407"/>
    <w:rsid w:val="002117E5"/>
    <w:rsid w:val="0021187E"/>
    <w:rsid w:val="002119D7"/>
    <w:rsid w:val="00211EAA"/>
    <w:rsid w:val="002120A2"/>
    <w:rsid w:val="00212474"/>
    <w:rsid w:val="0021276C"/>
    <w:rsid w:val="00212BBF"/>
    <w:rsid w:val="00212C01"/>
    <w:rsid w:val="00212CE2"/>
    <w:rsid w:val="00212DF6"/>
    <w:rsid w:val="00212E9D"/>
    <w:rsid w:val="00213200"/>
    <w:rsid w:val="002137DE"/>
    <w:rsid w:val="002137EE"/>
    <w:rsid w:val="00213A38"/>
    <w:rsid w:val="00214077"/>
    <w:rsid w:val="0021426F"/>
    <w:rsid w:val="00214414"/>
    <w:rsid w:val="0021486F"/>
    <w:rsid w:val="00214B8E"/>
    <w:rsid w:val="00215282"/>
    <w:rsid w:val="0021533B"/>
    <w:rsid w:val="00215354"/>
    <w:rsid w:val="002153B7"/>
    <w:rsid w:val="00215757"/>
    <w:rsid w:val="00215CAA"/>
    <w:rsid w:val="00215FE1"/>
    <w:rsid w:val="00216145"/>
    <w:rsid w:val="0021659B"/>
    <w:rsid w:val="00216709"/>
    <w:rsid w:val="0021697A"/>
    <w:rsid w:val="00216986"/>
    <w:rsid w:val="00216BEB"/>
    <w:rsid w:val="00216C98"/>
    <w:rsid w:val="00216F5E"/>
    <w:rsid w:val="002170CA"/>
    <w:rsid w:val="0021724A"/>
    <w:rsid w:val="00217B81"/>
    <w:rsid w:val="00217C5A"/>
    <w:rsid w:val="002203B5"/>
    <w:rsid w:val="002203E2"/>
    <w:rsid w:val="002205A8"/>
    <w:rsid w:val="0022078E"/>
    <w:rsid w:val="00220C5B"/>
    <w:rsid w:val="00221055"/>
    <w:rsid w:val="00221309"/>
    <w:rsid w:val="00221322"/>
    <w:rsid w:val="002216A5"/>
    <w:rsid w:val="00221A94"/>
    <w:rsid w:val="00221CCD"/>
    <w:rsid w:val="00221CF5"/>
    <w:rsid w:val="00221E89"/>
    <w:rsid w:val="00221F7F"/>
    <w:rsid w:val="0022215F"/>
    <w:rsid w:val="002222BA"/>
    <w:rsid w:val="00222378"/>
    <w:rsid w:val="00222596"/>
    <w:rsid w:val="0022265C"/>
    <w:rsid w:val="002226C2"/>
    <w:rsid w:val="00222C93"/>
    <w:rsid w:val="00222D7C"/>
    <w:rsid w:val="00222F6A"/>
    <w:rsid w:val="00223187"/>
    <w:rsid w:val="0022326A"/>
    <w:rsid w:val="00223752"/>
    <w:rsid w:val="002237C0"/>
    <w:rsid w:val="00223930"/>
    <w:rsid w:val="002239C1"/>
    <w:rsid w:val="00223ADA"/>
    <w:rsid w:val="00223C42"/>
    <w:rsid w:val="00223CEE"/>
    <w:rsid w:val="00223E73"/>
    <w:rsid w:val="00223E78"/>
    <w:rsid w:val="00223FDF"/>
    <w:rsid w:val="0022404D"/>
    <w:rsid w:val="00224193"/>
    <w:rsid w:val="002243A6"/>
    <w:rsid w:val="0022474C"/>
    <w:rsid w:val="00224A1D"/>
    <w:rsid w:val="00224ACA"/>
    <w:rsid w:val="00224C1D"/>
    <w:rsid w:val="00224CAA"/>
    <w:rsid w:val="00224D04"/>
    <w:rsid w:val="00225365"/>
    <w:rsid w:val="00225377"/>
    <w:rsid w:val="002255AF"/>
    <w:rsid w:val="00225681"/>
    <w:rsid w:val="00225DA8"/>
    <w:rsid w:val="00226165"/>
    <w:rsid w:val="00226291"/>
    <w:rsid w:val="0022633A"/>
    <w:rsid w:val="00226428"/>
    <w:rsid w:val="002267ED"/>
    <w:rsid w:val="00226F8F"/>
    <w:rsid w:val="00226FDA"/>
    <w:rsid w:val="0022728B"/>
    <w:rsid w:val="00227AEB"/>
    <w:rsid w:val="00227C1C"/>
    <w:rsid w:val="00227C92"/>
    <w:rsid w:val="00227DFD"/>
    <w:rsid w:val="00227E73"/>
    <w:rsid w:val="00227F08"/>
    <w:rsid w:val="002307E0"/>
    <w:rsid w:val="002308A4"/>
    <w:rsid w:val="002309AE"/>
    <w:rsid w:val="00230E55"/>
    <w:rsid w:val="00230F3A"/>
    <w:rsid w:val="002312A5"/>
    <w:rsid w:val="0023174F"/>
    <w:rsid w:val="00231CB5"/>
    <w:rsid w:val="00231D61"/>
    <w:rsid w:val="00232617"/>
    <w:rsid w:val="0023277C"/>
    <w:rsid w:val="0023297C"/>
    <w:rsid w:val="00232C44"/>
    <w:rsid w:val="00232C76"/>
    <w:rsid w:val="002330DD"/>
    <w:rsid w:val="002332B1"/>
    <w:rsid w:val="00233449"/>
    <w:rsid w:val="002335C0"/>
    <w:rsid w:val="002339B0"/>
    <w:rsid w:val="002339BD"/>
    <w:rsid w:val="002344CF"/>
    <w:rsid w:val="00234BC3"/>
    <w:rsid w:val="00234C6E"/>
    <w:rsid w:val="00234DC2"/>
    <w:rsid w:val="00234DD6"/>
    <w:rsid w:val="0023536D"/>
    <w:rsid w:val="00235728"/>
    <w:rsid w:val="0023573B"/>
    <w:rsid w:val="002358E2"/>
    <w:rsid w:val="00235ADE"/>
    <w:rsid w:val="0023682A"/>
    <w:rsid w:val="00236B97"/>
    <w:rsid w:val="00236C94"/>
    <w:rsid w:val="00236D71"/>
    <w:rsid w:val="00236F5C"/>
    <w:rsid w:val="00236F77"/>
    <w:rsid w:val="00237345"/>
    <w:rsid w:val="00237400"/>
    <w:rsid w:val="0023773D"/>
    <w:rsid w:val="00237788"/>
    <w:rsid w:val="00237792"/>
    <w:rsid w:val="00237858"/>
    <w:rsid w:val="00237A8C"/>
    <w:rsid w:val="00237C85"/>
    <w:rsid w:val="00237D22"/>
    <w:rsid w:val="00237DFC"/>
    <w:rsid w:val="00237EC7"/>
    <w:rsid w:val="00240180"/>
    <w:rsid w:val="00240411"/>
    <w:rsid w:val="002406B0"/>
    <w:rsid w:val="00240847"/>
    <w:rsid w:val="00240F71"/>
    <w:rsid w:val="00241156"/>
    <w:rsid w:val="00241184"/>
    <w:rsid w:val="002414DC"/>
    <w:rsid w:val="00241534"/>
    <w:rsid w:val="0024178D"/>
    <w:rsid w:val="00241B78"/>
    <w:rsid w:val="00241F12"/>
    <w:rsid w:val="002421E2"/>
    <w:rsid w:val="002424A9"/>
    <w:rsid w:val="00242537"/>
    <w:rsid w:val="0024253A"/>
    <w:rsid w:val="00242680"/>
    <w:rsid w:val="00242966"/>
    <w:rsid w:val="00242CE2"/>
    <w:rsid w:val="00242E22"/>
    <w:rsid w:val="00243A12"/>
    <w:rsid w:val="00243F1F"/>
    <w:rsid w:val="00244177"/>
    <w:rsid w:val="002442CA"/>
    <w:rsid w:val="0024445C"/>
    <w:rsid w:val="0024458E"/>
    <w:rsid w:val="002447A8"/>
    <w:rsid w:val="00244E85"/>
    <w:rsid w:val="00244EFE"/>
    <w:rsid w:val="00245069"/>
    <w:rsid w:val="0024558C"/>
    <w:rsid w:val="0024566B"/>
    <w:rsid w:val="00245847"/>
    <w:rsid w:val="00245ADA"/>
    <w:rsid w:val="00245DCF"/>
    <w:rsid w:val="002463E8"/>
    <w:rsid w:val="0024686D"/>
    <w:rsid w:val="00246BA0"/>
    <w:rsid w:val="00246F55"/>
    <w:rsid w:val="002470E3"/>
    <w:rsid w:val="002471A1"/>
    <w:rsid w:val="002471D4"/>
    <w:rsid w:val="002472E3"/>
    <w:rsid w:val="002473B1"/>
    <w:rsid w:val="002473ED"/>
    <w:rsid w:val="0024755D"/>
    <w:rsid w:val="00247C66"/>
    <w:rsid w:val="00247D09"/>
    <w:rsid w:val="00247E2D"/>
    <w:rsid w:val="00247EEA"/>
    <w:rsid w:val="00250457"/>
    <w:rsid w:val="0025061E"/>
    <w:rsid w:val="0025099A"/>
    <w:rsid w:val="00250EBB"/>
    <w:rsid w:val="002510BB"/>
    <w:rsid w:val="0025118C"/>
    <w:rsid w:val="0025150D"/>
    <w:rsid w:val="00251921"/>
    <w:rsid w:val="00251925"/>
    <w:rsid w:val="002529F7"/>
    <w:rsid w:val="00252E59"/>
    <w:rsid w:val="002530DD"/>
    <w:rsid w:val="00253204"/>
    <w:rsid w:val="00253490"/>
    <w:rsid w:val="00253588"/>
    <w:rsid w:val="00253EBB"/>
    <w:rsid w:val="00253F4B"/>
    <w:rsid w:val="002540C0"/>
    <w:rsid w:val="002544FC"/>
    <w:rsid w:val="00254CEE"/>
    <w:rsid w:val="00254E38"/>
    <w:rsid w:val="00254F00"/>
    <w:rsid w:val="00254FE0"/>
    <w:rsid w:val="002551B8"/>
    <w:rsid w:val="0025528C"/>
    <w:rsid w:val="002553A3"/>
    <w:rsid w:val="0025546D"/>
    <w:rsid w:val="00255575"/>
    <w:rsid w:val="00255756"/>
    <w:rsid w:val="00255973"/>
    <w:rsid w:val="00255AAC"/>
    <w:rsid w:val="00255EAF"/>
    <w:rsid w:val="0025609A"/>
    <w:rsid w:val="00256A5B"/>
    <w:rsid w:val="00256C3D"/>
    <w:rsid w:val="0025745F"/>
    <w:rsid w:val="0025748B"/>
    <w:rsid w:val="0025755C"/>
    <w:rsid w:val="002575C4"/>
    <w:rsid w:val="0025767D"/>
    <w:rsid w:val="002577FE"/>
    <w:rsid w:val="002579A5"/>
    <w:rsid w:val="002579F4"/>
    <w:rsid w:val="00257A9E"/>
    <w:rsid w:val="00257D76"/>
    <w:rsid w:val="00257DF0"/>
    <w:rsid w:val="00260123"/>
    <w:rsid w:val="0026083C"/>
    <w:rsid w:val="0026093A"/>
    <w:rsid w:val="00260F26"/>
    <w:rsid w:val="00261276"/>
    <w:rsid w:val="00261519"/>
    <w:rsid w:val="00261648"/>
    <w:rsid w:val="0026169D"/>
    <w:rsid w:val="00261AAB"/>
    <w:rsid w:val="00261B6A"/>
    <w:rsid w:val="00261BF6"/>
    <w:rsid w:val="00261CD7"/>
    <w:rsid w:val="002621BE"/>
    <w:rsid w:val="002621D3"/>
    <w:rsid w:val="002627CE"/>
    <w:rsid w:val="002628FE"/>
    <w:rsid w:val="00263237"/>
    <w:rsid w:val="002632B9"/>
    <w:rsid w:val="00263413"/>
    <w:rsid w:val="00263422"/>
    <w:rsid w:val="002635A8"/>
    <w:rsid w:val="002636DA"/>
    <w:rsid w:val="00263C1E"/>
    <w:rsid w:val="00263EBB"/>
    <w:rsid w:val="00263F0F"/>
    <w:rsid w:val="00264401"/>
    <w:rsid w:val="00264560"/>
    <w:rsid w:val="002648F8"/>
    <w:rsid w:val="00264962"/>
    <w:rsid w:val="00264A18"/>
    <w:rsid w:val="00264A1A"/>
    <w:rsid w:val="00264AFC"/>
    <w:rsid w:val="00264B7F"/>
    <w:rsid w:val="00264C8B"/>
    <w:rsid w:val="00264E5C"/>
    <w:rsid w:val="00264EE2"/>
    <w:rsid w:val="00264FF3"/>
    <w:rsid w:val="00265025"/>
    <w:rsid w:val="002650B9"/>
    <w:rsid w:val="00265369"/>
    <w:rsid w:val="002656F2"/>
    <w:rsid w:val="0026570D"/>
    <w:rsid w:val="0026580B"/>
    <w:rsid w:val="00265B0A"/>
    <w:rsid w:val="00265FFF"/>
    <w:rsid w:val="00266181"/>
    <w:rsid w:val="002662A5"/>
    <w:rsid w:val="00266467"/>
    <w:rsid w:val="002665AA"/>
    <w:rsid w:val="0026679E"/>
    <w:rsid w:val="00266939"/>
    <w:rsid w:val="00266A89"/>
    <w:rsid w:val="00266AC2"/>
    <w:rsid w:val="00266DAD"/>
    <w:rsid w:val="002670D4"/>
    <w:rsid w:val="00267711"/>
    <w:rsid w:val="002677A8"/>
    <w:rsid w:val="00267B05"/>
    <w:rsid w:val="00270042"/>
    <w:rsid w:val="00270064"/>
    <w:rsid w:val="002704D5"/>
    <w:rsid w:val="00270505"/>
    <w:rsid w:val="00270775"/>
    <w:rsid w:val="00270AEA"/>
    <w:rsid w:val="00270B77"/>
    <w:rsid w:val="00270E38"/>
    <w:rsid w:val="00271388"/>
    <w:rsid w:val="0027161E"/>
    <w:rsid w:val="0027163A"/>
    <w:rsid w:val="002717BF"/>
    <w:rsid w:val="00271A0E"/>
    <w:rsid w:val="0027223B"/>
    <w:rsid w:val="00272542"/>
    <w:rsid w:val="002725B0"/>
    <w:rsid w:val="00272CB0"/>
    <w:rsid w:val="00272D7A"/>
    <w:rsid w:val="0027365C"/>
    <w:rsid w:val="00273BEB"/>
    <w:rsid w:val="00274052"/>
    <w:rsid w:val="00274163"/>
    <w:rsid w:val="00274314"/>
    <w:rsid w:val="00274346"/>
    <w:rsid w:val="002743EF"/>
    <w:rsid w:val="00274AE2"/>
    <w:rsid w:val="0027500C"/>
    <w:rsid w:val="00275266"/>
    <w:rsid w:val="00275625"/>
    <w:rsid w:val="00275629"/>
    <w:rsid w:val="002757CA"/>
    <w:rsid w:val="00275C9F"/>
    <w:rsid w:val="00275CC3"/>
    <w:rsid w:val="002761B8"/>
    <w:rsid w:val="0027693D"/>
    <w:rsid w:val="00276997"/>
    <w:rsid w:val="00276AD5"/>
    <w:rsid w:val="00276E27"/>
    <w:rsid w:val="00276FEF"/>
    <w:rsid w:val="0027742C"/>
    <w:rsid w:val="0027766C"/>
    <w:rsid w:val="002778E5"/>
    <w:rsid w:val="002778FF"/>
    <w:rsid w:val="00277D75"/>
    <w:rsid w:val="002804EF"/>
    <w:rsid w:val="0028056F"/>
    <w:rsid w:val="002805C7"/>
    <w:rsid w:val="0028087D"/>
    <w:rsid w:val="00280AA3"/>
    <w:rsid w:val="00280FC5"/>
    <w:rsid w:val="00280FD5"/>
    <w:rsid w:val="00281273"/>
    <w:rsid w:val="002812C6"/>
    <w:rsid w:val="00281361"/>
    <w:rsid w:val="00281633"/>
    <w:rsid w:val="00281854"/>
    <w:rsid w:val="00281A48"/>
    <w:rsid w:val="00281A71"/>
    <w:rsid w:val="00281AC7"/>
    <w:rsid w:val="00281B21"/>
    <w:rsid w:val="00281CA5"/>
    <w:rsid w:val="00281DDE"/>
    <w:rsid w:val="00281DE5"/>
    <w:rsid w:val="002820CD"/>
    <w:rsid w:val="002820DD"/>
    <w:rsid w:val="002823FB"/>
    <w:rsid w:val="00282485"/>
    <w:rsid w:val="002824E2"/>
    <w:rsid w:val="002825D4"/>
    <w:rsid w:val="0028275C"/>
    <w:rsid w:val="00282CC5"/>
    <w:rsid w:val="00282E88"/>
    <w:rsid w:val="0028305C"/>
    <w:rsid w:val="002831D4"/>
    <w:rsid w:val="0028337B"/>
    <w:rsid w:val="002835B3"/>
    <w:rsid w:val="002835F7"/>
    <w:rsid w:val="0028361C"/>
    <w:rsid w:val="0028377D"/>
    <w:rsid w:val="00283B05"/>
    <w:rsid w:val="00283B8F"/>
    <w:rsid w:val="00283D52"/>
    <w:rsid w:val="002843F5"/>
    <w:rsid w:val="00284748"/>
    <w:rsid w:val="00284850"/>
    <w:rsid w:val="00284923"/>
    <w:rsid w:val="00284BDE"/>
    <w:rsid w:val="00284D54"/>
    <w:rsid w:val="00284F3D"/>
    <w:rsid w:val="002856B1"/>
    <w:rsid w:val="00285770"/>
    <w:rsid w:val="002858CB"/>
    <w:rsid w:val="00285CCF"/>
    <w:rsid w:val="002860FA"/>
    <w:rsid w:val="0028665C"/>
    <w:rsid w:val="00286BDB"/>
    <w:rsid w:val="00286F53"/>
    <w:rsid w:val="00286F8D"/>
    <w:rsid w:val="002872B7"/>
    <w:rsid w:val="002877BB"/>
    <w:rsid w:val="00287A1D"/>
    <w:rsid w:val="00287A9A"/>
    <w:rsid w:val="0029023B"/>
    <w:rsid w:val="00290500"/>
    <w:rsid w:val="00290521"/>
    <w:rsid w:val="002907AE"/>
    <w:rsid w:val="0029089E"/>
    <w:rsid w:val="00290B44"/>
    <w:rsid w:val="00290D32"/>
    <w:rsid w:val="0029102F"/>
    <w:rsid w:val="002910F1"/>
    <w:rsid w:val="00291107"/>
    <w:rsid w:val="0029169A"/>
    <w:rsid w:val="002916CA"/>
    <w:rsid w:val="00291838"/>
    <w:rsid w:val="002919A0"/>
    <w:rsid w:val="00291D5B"/>
    <w:rsid w:val="00291D63"/>
    <w:rsid w:val="00291EFA"/>
    <w:rsid w:val="00291FF1"/>
    <w:rsid w:val="0029225E"/>
    <w:rsid w:val="00292432"/>
    <w:rsid w:val="0029246C"/>
    <w:rsid w:val="00293206"/>
    <w:rsid w:val="0029329B"/>
    <w:rsid w:val="0029348A"/>
    <w:rsid w:val="002935C4"/>
    <w:rsid w:val="00293947"/>
    <w:rsid w:val="00293C14"/>
    <w:rsid w:val="00293CBB"/>
    <w:rsid w:val="00293DAC"/>
    <w:rsid w:val="00293E83"/>
    <w:rsid w:val="00294316"/>
    <w:rsid w:val="00294524"/>
    <w:rsid w:val="00294863"/>
    <w:rsid w:val="002948F2"/>
    <w:rsid w:val="00294B55"/>
    <w:rsid w:val="00295083"/>
    <w:rsid w:val="002950BA"/>
    <w:rsid w:val="002953FB"/>
    <w:rsid w:val="00295482"/>
    <w:rsid w:val="0029561F"/>
    <w:rsid w:val="0029586C"/>
    <w:rsid w:val="002958F7"/>
    <w:rsid w:val="002959B5"/>
    <w:rsid w:val="002959BC"/>
    <w:rsid w:val="00295A97"/>
    <w:rsid w:val="00296161"/>
    <w:rsid w:val="00296623"/>
    <w:rsid w:val="00296E3C"/>
    <w:rsid w:val="00296E59"/>
    <w:rsid w:val="00297A30"/>
    <w:rsid w:val="00297E24"/>
    <w:rsid w:val="002A0319"/>
    <w:rsid w:val="002A0496"/>
    <w:rsid w:val="002A04FF"/>
    <w:rsid w:val="002A05FA"/>
    <w:rsid w:val="002A0A98"/>
    <w:rsid w:val="002A0D8B"/>
    <w:rsid w:val="002A14E7"/>
    <w:rsid w:val="002A1634"/>
    <w:rsid w:val="002A18BA"/>
    <w:rsid w:val="002A1D05"/>
    <w:rsid w:val="002A1E44"/>
    <w:rsid w:val="002A2221"/>
    <w:rsid w:val="002A233E"/>
    <w:rsid w:val="002A239C"/>
    <w:rsid w:val="002A24AF"/>
    <w:rsid w:val="002A25A9"/>
    <w:rsid w:val="002A27DB"/>
    <w:rsid w:val="002A2A58"/>
    <w:rsid w:val="002A2C23"/>
    <w:rsid w:val="002A2C42"/>
    <w:rsid w:val="002A2D4F"/>
    <w:rsid w:val="002A3401"/>
    <w:rsid w:val="002A3566"/>
    <w:rsid w:val="002A3746"/>
    <w:rsid w:val="002A3932"/>
    <w:rsid w:val="002A3950"/>
    <w:rsid w:val="002A398D"/>
    <w:rsid w:val="002A3B37"/>
    <w:rsid w:val="002A3FE1"/>
    <w:rsid w:val="002A402E"/>
    <w:rsid w:val="002A425A"/>
    <w:rsid w:val="002A4284"/>
    <w:rsid w:val="002A4703"/>
    <w:rsid w:val="002A4C8C"/>
    <w:rsid w:val="002A4D0C"/>
    <w:rsid w:val="002A4D64"/>
    <w:rsid w:val="002A4E25"/>
    <w:rsid w:val="002A50E6"/>
    <w:rsid w:val="002A510D"/>
    <w:rsid w:val="002A51E4"/>
    <w:rsid w:val="002A5583"/>
    <w:rsid w:val="002A56D3"/>
    <w:rsid w:val="002A5E53"/>
    <w:rsid w:val="002A6055"/>
    <w:rsid w:val="002A6194"/>
    <w:rsid w:val="002A6486"/>
    <w:rsid w:val="002A6703"/>
    <w:rsid w:val="002A6706"/>
    <w:rsid w:val="002A6856"/>
    <w:rsid w:val="002A6D1E"/>
    <w:rsid w:val="002A7042"/>
    <w:rsid w:val="002A70D9"/>
    <w:rsid w:val="002A7176"/>
    <w:rsid w:val="002A7386"/>
    <w:rsid w:val="002A7630"/>
    <w:rsid w:val="002A78B9"/>
    <w:rsid w:val="002A78C6"/>
    <w:rsid w:val="002A7AAF"/>
    <w:rsid w:val="002A7D8E"/>
    <w:rsid w:val="002A7DCF"/>
    <w:rsid w:val="002A7F66"/>
    <w:rsid w:val="002B003D"/>
    <w:rsid w:val="002B0349"/>
    <w:rsid w:val="002B0432"/>
    <w:rsid w:val="002B0557"/>
    <w:rsid w:val="002B0825"/>
    <w:rsid w:val="002B0AAC"/>
    <w:rsid w:val="002B0ACD"/>
    <w:rsid w:val="002B0AF1"/>
    <w:rsid w:val="002B0FC0"/>
    <w:rsid w:val="002B0FFF"/>
    <w:rsid w:val="002B1053"/>
    <w:rsid w:val="002B113D"/>
    <w:rsid w:val="002B11DD"/>
    <w:rsid w:val="002B13A3"/>
    <w:rsid w:val="002B13A7"/>
    <w:rsid w:val="002B13DC"/>
    <w:rsid w:val="002B1A31"/>
    <w:rsid w:val="002B1AB3"/>
    <w:rsid w:val="002B1D54"/>
    <w:rsid w:val="002B2881"/>
    <w:rsid w:val="002B2A5A"/>
    <w:rsid w:val="002B2B48"/>
    <w:rsid w:val="002B2D6A"/>
    <w:rsid w:val="002B30CC"/>
    <w:rsid w:val="002B31A5"/>
    <w:rsid w:val="002B339D"/>
    <w:rsid w:val="002B3461"/>
    <w:rsid w:val="002B358D"/>
    <w:rsid w:val="002B36FD"/>
    <w:rsid w:val="002B3DC0"/>
    <w:rsid w:val="002B49EE"/>
    <w:rsid w:val="002B4B49"/>
    <w:rsid w:val="002B4DFB"/>
    <w:rsid w:val="002B4E23"/>
    <w:rsid w:val="002B5039"/>
    <w:rsid w:val="002B51D4"/>
    <w:rsid w:val="002B52E3"/>
    <w:rsid w:val="002B5349"/>
    <w:rsid w:val="002B5992"/>
    <w:rsid w:val="002B5F7F"/>
    <w:rsid w:val="002B65C3"/>
    <w:rsid w:val="002B6762"/>
    <w:rsid w:val="002B6A81"/>
    <w:rsid w:val="002B6D15"/>
    <w:rsid w:val="002B6F05"/>
    <w:rsid w:val="002B6F67"/>
    <w:rsid w:val="002B7000"/>
    <w:rsid w:val="002B732D"/>
    <w:rsid w:val="002B78C2"/>
    <w:rsid w:val="002B79DA"/>
    <w:rsid w:val="002B7A80"/>
    <w:rsid w:val="002B7B64"/>
    <w:rsid w:val="002B7BB5"/>
    <w:rsid w:val="002B7C00"/>
    <w:rsid w:val="002B7C95"/>
    <w:rsid w:val="002B7CB6"/>
    <w:rsid w:val="002B7CCC"/>
    <w:rsid w:val="002B7EAD"/>
    <w:rsid w:val="002C0395"/>
    <w:rsid w:val="002C045C"/>
    <w:rsid w:val="002C04F1"/>
    <w:rsid w:val="002C05C4"/>
    <w:rsid w:val="002C0634"/>
    <w:rsid w:val="002C0A8A"/>
    <w:rsid w:val="002C0E7B"/>
    <w:rsid w:val="002C0ECE"/>
    <w:rsid w:val="002C0F7C"/>
    <w:rsid w:val="002C10B4"/>
    <w:rsid w:val="002C11A6"/>
    <w:rsid w:val="002C12A9"/>
    <w:rsid w:val="002C14FC"/>
    <w:rsid w:val="002C1A85"/>
    <w:rsid w:val="002C1BFE"/>
    <w:rsid w:val="002C2074"/>
    <w:rsid w:val="002C29F8"/>
    <w:rsid w:val="002C2E36"/>
    <w:rsid w:val="002C2E75"/>
    <w:rsid w:val="002C2F27"/>
    <w:rsid w:val="002C32AF"/>
    <w:rsid w:val="002C3584"/>
    <w:rsid w:val="002C389B"/>
    <w:rsid w:val="002C38D4"/>
    <w:rsid w:val="002C38EB"/>
    <w:rsid w:val="002C3A05"/>
    <w:rsid w:val="002C3A13"/>
    <w:rsid w:val="002C3C07"/>
    <w:rsid w:val="002C3DE6"/>
    <w:rsid w:val="002C403F"/>
    <w:rsid w:val="002C40F8"/>
    <w:rsid w:val="002C46ED"/>
    <w:rsid w:val="002C48BA"/>
    <w:rsid w:val="002C4A13"/>
    <w:rsid w:val="002C4B9A"/>
    <w:rsid w:val="002C4BAD"/>
    <w:rsid w:val="002C4BB9"/>
    <w:rsid w:val="002C4E71"/>
    <w:rsid w:val="002C4E9E"/>
    <w:rsid w:val="002C4FD6"/>
    <w:rsid w:val="002C5826"/>
    <w:rsid w:val="002C5850"/>
    <w:rsid w:val="002C58B7"/>
    <w:rsid w:val="002C5A1C"/>
    <w:rsid w:val="002C67AC"/>
    <w:rsid w:val="002C68C9"/>
    <w:rsid w:val="002C7022"/>
    <w:rsid w:val="002C758E"/>
    <w:rsid w:val="002C7C85"/>
    <w:rsid w:val="002D01DF"/>
    <w:rsid w:val="002D057A"/>
    <w:rsid w:val="002D0A60"/>
    <w:rsid w:val="002D0B13"/>
    <w:rsid w:val="002D0CC1"/>
    <w:rsid w:val="002D0D31"/>
    <w:rsid w:val="002D11D1"/>
    <w:rsid w:val="002D169F"/>
    <w:rsid w:val="002D1AA8"/>
    <w:rsid w:val="002D1BD4"/>
    <w:rsid w:val="002D1C02"/>
    <w:rsid w:val="002D21F4"/>
    <w:rsid w:val="002D22EA"/>
    <w:rsid w:val="002D23C1"/>
    <w:rsid w:val="002D2474"/>
    <w:rsid w:val="002D260D"/>
    <w:rsid w:val="002D276F"/>
    <w:rsid w:val="002D2837"/>
    <w:rsid w:val="002D29F9"/>
    <w:rsid w:val="002D2AAE"/>
    <w:rsid w:val="002D3327"/>
    <w:rsid w:val="002D3803"/>
    <w:rsid w:val="002D3C66"/>
    <w:rsid w:val="002D3C7F"/>
    <w:rsid w:val="002D3F7D"/>
    <w:rsid w:val="002D4204"/>
    <w:rsid w:val="002D437A"/>
    <w:rsid w:val="002D48EB"/>
    <w:rsid w:val="002D49D3"/>
    <w:rsid w:val="002D4E1C"/>
    <w:rsid w:val="002D4E6B"/>
    <w:rsid w:val="002D4FD9"/>
    <w:rsid w:val="002D5178"/>
    <w:rsid w:val="002D527B"/>
    <w:rsid w:val="002D5280"/>
    <w:rsid w:val="002D567D"/>
    <w:rsid w:val="002D5A8A"/>
    <w:rsid w:val="002D5D4F"/>
    <w:rsid w:val="002D5DF3"/>
    <w:rsid w:val="002D5E77"/>
    <w:rsid w:val="002D5EFC"/>
    <w:rsid w:val="002D6529"/>
    <w:rsid w:val="002D68C4"/>
    <w:rsid w:val="002D6910"/>
    <w:rsid w:val="002D6965"/>
    <w:rsid w:val="002D69A2"/>
    <w:rsid w:val="002D6F7B"/>
    <w:rsid w:val="002D7329"/>
    <w:rsid w:val="002D7A9E"/>
    <w:rsid w:val="002D7F00"/>
    <w:rsid w:val="002E021C"/>
    <w:rsid w:val="002E08D0"/>
    <w:rsid w:val="002E0930"/>
    <w:rsid w:val="002E09BF"/>
    <w:rsid w:val="002E0E2A"/>
    <w:rsid w:val="002E1035"/>
    <w:rsid w:val="002E12A6"/>
    <w:rsid w:val="002E1BF3"/>
    <w:rsid w:val="002E1D10"/>
    <w:rsid w:val="002E1DE1"/>
    <w:rsid w:val="002E224C"/>
    <w:rsid w:val="002E2353"/>
    <w:rsid w:val="002E269C"/>
    <w:rsid w:val="002E2C58"/>
    <w:rsid w:val="002E2DE0"/>
    <w:rsid w:val="002E3290"/>
    <w:rsid w:val="002E3749"/>
    <w:rsid w:val="002E392F"/>
    <w:rsid w:val="002E418F"/>
    <w:rsid w:val="002E46D2"/>
    <w:rsid w:val="002E4747"/>
    <w:rsid w:val="002E4793"/>
    <w:rsid w:val="002E488F"/>
    <w:rsid w:val="002E4941"/>
    <w:rsid w:val="002E4CD2"/>
    <w:rsid w:val="002E4D31"/>
    <w:rsid w:val="002E5279"/>
    <w:rsid w:val="002E5542"/>
    <w:rsid w:val="002E575D"/>
    <w:rsid w:val="002E58F5"/>
    <w:rsid w:val="002E5901"/>
    <w:rsid w:val="002E5E4B"/>
    <w:rsid w:val="002E5F84"/>
    <w:rsid w:val="002E5F93"/>
    <w:rsid w:val="002E61C0"/>
    <w:rsid w:val="002E624C"/>
    <w:rsid w:val="002E63C6"/>
    <w:rsid w:val="002E665C"/>
    <w:rsid w:val="002E66D0"/>
    <w:rsid w:val="002E6806"/>
    <w:rsid w:val="002E691D"/>
    <w:rsid w:val="002E6AA5"/>
    <w:rsid w:val="002E6AA9"/>
    <w:rsid w:val="002E6C3E"/>
    <w:rsid w:val="002E6CFF"/>
    <w:rsid w:val="002E700C"/>
    <w:rsid w:val="002E7754"/>
    <w:rsid w:val="002E7B6D"/>
    <w:rsid w:val="002E7F47"/>
    <w:rsid w:val="002F01C5"/>
    <w:rsid w:val="002F0511"/>
    <w:rsid w:val="002F057D"/>
    <w:rsid w:val="002F06D6"/>
    <w:rsid w:val="002F0740"/>
    <w:rsid w:val="002F0D65"/>
    <w:rsid w:val="002F0FA4"/>
    <w:rsid w:val="002F10D3"/>
    <w:rsid w:val="002F11F7"/>
    <w:rsid w:val="002F12C4"/>
    <w:rsid w:val="002F1571"/>
    <w:rsid w:val="002F178E"/>
    <w:rsid w:val="002F17F5"/>
    <w:rsid w:val="002F1D13"/>
    <w:rsid w:val="002F1DD0"/>
    <w:rsid w:val="002F1E16"/>
    <w:rsid w:val="002F266A"/>
    <w:rsid w:val="002F2929"/>
    <w:rsid w:val="002F2E48"/>
    <w:rsid w:val="002F38DB"/>
    <w:rsid w:val="002F3B75"/>
    <w:rsid w:val="002F3C70"/>
    <w:rsid w:val="002F4220"/>
    <w:rsid w:val="002F44F1"/>
    <w:rsid w:val="002F488E"/>
    <w:rsid w:val="002F4BF1"/>
    <w:rsid w:val="002F4D18"/>
    <w:rsid w:val="002F4D4B"/>
    <w:rsid w:val="002F507F"/>
    <w:rsid w:val="002F5132"/>
    <w:rsid w:val="002F525A"/>
    <w:rsid w:val="002F563B"/>
    <w:rsid w:val="002F5748"/>
    <w:rsid w:val="002F579F"/>
    <w:rsid w:val="002F5879"/>
    <w:rsid w:val="002F58D1"/>
    <w:rsid w:val="002F5E07"/>
    <w:rsid w:val="002F5E8C"/>
    <w:rsid w:val="002F617E"/>
    <w:rsid w:val="002F6221"/>
    <w:rsid w:val="002F62C9"/>
    <w:rsid w:val="002F63A6"/>
    <w:rsid w:val="002F6458"/>
    <w:rsid w:val="002F698B"/>
    <w:rsid w:val="002F6A3C"/>
    <w:rsid w:val="002F6AE6"/>
    <w:rsid w:val="002F6AFC"/>
    <w:rsid w:val="002F6B32"/>
    <w:rsid w:val="002F737C"/>
    <w:rsid w:val="002F7407"/>
    <w:rsid w:val="002F774E"/>
    <w:rsid w:val="002F7F46"/>
    <w:rsid w:val="003000DF"/>
    <w:rsid w:val="0030011A"/>
    <w:rsid w:val="0030075C"/>
    <w:rsid w:val="00300ACF"/>
    <w:rsid w:val="00300B6E"/>
    <w:rsid w:val="00300CE0"/>
    <w:rsid w:val="00300D53"/>
    <w:rsid w:val="00300DE4"/>
    <w:rsid w:val="0030108B"/>
    <w:rsid w:val="00301286"/>
    <w:rsid w:val="003013CA"/>
    <w:rsid w:val="003015DE"/>
    <w:rsid w:val="00302069"/>
    <w:rsid w:val="003024AE"/>
    <w:rsid w:val="0030274C"/>
    <w:rsid w:val="00302A0C"/>
    <w:rsid w:val="00302AE0"/>
    <w:rsid w:val="00303257"/>
    <w:rsid w:val="00303465"/>
    <w:rsid w:val="0030359E"/>
    <w:rsid w:val="0030365F"/>
    <w:rsid w:val="00303A10"/>
    <w:rsid w:val="0030422D"/>
    <w:rsid w:val="003049EC"/>
    <w:rsid w:val="00304DBD"/>
    <w:rsid w:val="00304FCF"/>
    <w:rsid w:val="00305077"/>
    <w:rsid w:val="003053D2"/>
    <w:rsid w:val="00305509"/>
    <w:rsid w:val="0030591B"/>
    <w:rsid w:val="0030596F"/>
    <w:rsid w:val="003059A9"/>
    <w:rsid w:val="00305A60"/>
    <w:rsid w:val="00305B1D"/>
    <w:rsid w:val="0030606F"/>
    <w:rsid w:val="0030619A"/>
    <w:rsid w:val="00306271"/>
    <w:rsid w:val="00306364"/>
    <w:rsid w:val="0030640D"/>
    <w:rsid w:val="00307676"/>
    <w:rsid w:val="003078FF"/>
    <w:rsid w:val="003102A3"/>
    <w:rsid w:val="003103C1"/>
    <w:rsid w:val="00310484"/>
    <w:rsid w:val="003106D7"/>
    <w:rsid w:val="0031091C"/>
    <w:rsid w:val="0031094B"/>
    <w:rsid w:val="00310970"/>
    <w:rsid w:val="00310CFC"/>
    <w:rsid w:val="00310EF5"/>
    <w:rsid w:val="00311311"/>
    <w:rsid w:val="0031170D"/>
    <w:rsid w:val="00311BB9"/>
    <w:rsid w:val="00311E99"/>
    <w:rsid w:val="00311FB1"/>
    <w:rsid w:val="003122B4"/>
    <w:rsid w:val="00312B2B"/>
    <w:rsid w:val="00312B72"/>
    <w:rsid w:val="00312EB0"/>
    <w:rsid w:val="00312EB7"/>
    <w:rsid w:val="00312FC5"/>
    <w:rsid w:val="0031315D"/>
    <w:rsid w:val="00313185"/>
    <w:rsid w:val="0031322B"/>
    <w:rsid w:val="00313715"/>
    <w:rsid w:val="003139DC"/>
    <w:rsid w:val="00313AD4"/>
    <w:rsid w:val="00313B41"/>
    <w:rsid w:val="00313CDD"/>
    <w:rsid w:val="00313F02"/>
    <w:rsid w:val="003145A0"/>
    <w:rsid w:val="003146CE"/>
    <w:rsid w:val="003147A5"/>
    <w:rsid w:val="003149F3"/>
    <w:rsid w:val="00314F0C"/>
    <w:rsid w:val="003150BD"/>
    <w:rsid w:val="003151B6"/>
    <w:rsid w:val="003151E2"/>
    <w:rsid w:val="0031532F"/>
    <w:rsid w:val="003158F4"/>
    <w:rsid w:val="0031596D"/>
    <w:rsid w:val="00315B2B"/>
    <w:rsid w:val="00316052"/>
    <w:rsid w:val="00316203"/>
    <w:rsid w:val="003168AE"/>
    <w:rsid w:val="00316ABA"/>
    <w:rsid w:val="00316CC5"/>
    <w:rsid w:val="00317523"/>
    <w:rsid w:val="003175CF"/>
    <w:rsid w:val="003175FF"/>
    <w:rsid w:val="00317694"/>
    <w:rsid w:val="00317799"/>
    <w:rsid w:val="00317F3C"/>
    <w:rsid w:val="00320061"/>
    <w:rsid w:val="003200F2"/>
    <w:rsid w:val="003207B6"/>
    <w:rsid w:val="00320D1D"/>
    <w:rsid w:val="00320E6E"/>
    <w:rsid w:val="0032135A"/>
    <w:rsid w:val="00321571"/>
    <w:rsid w:val="003216D4"/>
    <w:rsid w:val="003216F9"/>
    <w:rsid w:val="0032187B"/>
    <w:rsid w:val="00321B24"/>
    <w:rsid w:val="00322278"/>
    <w:rsid w:val="00322281"/>
    <w:rsid w:val="0032254E"/>
    <w:rsid w:val="0032270F"/>
    <w:rsid w:val="00322976"/>
    <w:rsid w:val="00322A7C"/>
    <w:rsid w:val="00322C4B"/>
    <w:rsid w:val="00322CBC"/>
    <w:rsid w:val="00323131"/>
    <w:rsid w:val="003234F8"/>
    <w:rsid w:val="0032356D"/>
    <w:rsid w:val="0032410C"/>
    <w:rsid w:val="00324197"/>
    <w:rsid w:val="0032473F"/>
    <w:rsid w:val="00324B51"/>
    <w:rsid w:val="00324C8B"/>
    <w:rsid w:val="00324D10"/>
    <w:rsid w:val="00324DA9"/>
    <w:rsid w:val="00325431"/>
    <w:rsid w:val="00325603"/>
    <w:rsid w:val="0032577F"/>
    <w:rsid w:val="003257D8"/>
    <w:rsid w:val="0032592C"/>
    <w:rsid w:val="00325A45"/>
    <w:rsid w:val="003263FD"/>
    <w:rsid w:val="003266F4"/>
    <w:rsid w:val="00326A3D"/>
    <w:rsid w:val="00326A6B"/>
    <w:rsid w:val="00326B47"/>
    <w:rsid w:val="00327687"/>
    <w:rsid w:val="00327CAF"/>
    <w:rsid w:val="003301CE"/>
    <w:rsid w:val="00330778"/>
    <w:rsid w:val="00330798"/>
    <w:rsid w:val="00330A65"/>
    <w:rsid w:val="00330CF7"/>
    <w:rsid w:val="00330E76"/>
    <w:rsid w:val="00330F12"/>
    <w:rsid w:val="00330F91"/>
    <w:rsid w:val="00331231"/>
    <w:rsid w:val="0033145B"/>
    <w:rsid w:val="00331680"/>
    <w:rsid w:val="003317EF"/>
    <w:rsid w:val="003321DF"/>
    <w:rsid w:val="00332290"/>
    <w:rsid w:val="00332512"/>
    <w:rsid w:val="00332533"/>
    <w:rsid w:val="0033260C"/>
    <w:rsid w:val="00332A71"/>
    <w:rsid w:val="00332ABB"/>
    <w:rsid w:val="003330AF"/>
    <w:rsid w:val="003331F1"/>
    <w:rsid w:val="0033369F"/>
    <w:rsid w:val="00333768"/>
    <w:rsid w:val="00333A23"/>
    <w:rsid w:val="00333A9E"/>
    <w:rsid w:val="00333B6A"/>
    <w:rsid w:val="00334172"/>
    <w:rsid w:val="00334481"/>
    <w:rsid w:val="0033448F"/>
    <w:rsid w:val="00334785"/>
    <w:rsid w:val="00334A68"/>
    <w:rsid w:val="00334B81"/>
    <w:rsid w:val="00334C57"/>
    <w:rsid w:val="00334E8C"/>
    <w:rsid w:val="0033506A"/>
    <w:rsid w:val="00335263"/>
    <w:rsid w:val="00335341"/>
    <w:rsid w:val="00335365"/>
    <w:rsid w:val="00335920"/>
    <w:rsid w:val="0033595F"/>
    <w:rsid w:val="00335C48"/>
    <w:rsid w:val="00335EDA"/>
    <w:rsid w:val="00335F21"/>
    <w:rsid w:val="0033664F"/>
    <w:rsid w:val="00336702"/>
    <w:rsid w:val="00336825"/>
    <w:rsid w:val="00336A58"/>
    <w:rsid w:val="00336B41"/>
    <w:rsid w:val="00336C15"/>
    <w:rsid w:val="00336CB2"/>
    <w:rsid w:val="0033737C"/>
    <w:rsid w:val="00337C31"/>
    <w:rsid w:val="00337F99"/>
    <w:rsid w:val="00340249"/>
    <w:rsid w:val="003402E6"/>
    <w:rsid w:val="003403A2"/>
    <w:rsid w:val="003404A5"/>
    <w:rsid w:val="00340565"/>
    <w:rsid w:val="00340B01"/>
    <w:rsid w:val="00340BE7"/>
    <w:rsid w:val="00340FFA"/>
    <w:rsid w:val="0034178C"/>
    <w:rsid w:val="003419F6"/>
    <w:rsid w:val="00341BD8"/>
    <w:rsid w:val="00341BE0"/>
    <w:rsid w:val="00341DA6"/>
    <w:rsid w:val="003420F1"/>
    <w:rsid w:val="0034221A"/>
    <w:rsid w:val="00342310"/>
    <w:rsid w:val="0034242F"/>
    <w:rsid w:val="003428D0"/>
    <w:rsid w:val="0034291C"/>
    <w:rsid w:val="00342930"/>
    <w:rsid w:val="00342BC7"/>
    <w:rsid w:val="00342E2E"/>
    <w:rsid w:val="003433EB"/>
    <w:rsid w:val="00343E3E"/>
    <w:rsid w:val="003441AD"/>
    <w:rsid w:val="003441CC"/>
    <w:rsid w:val="003447B7"/>
    <w:rsid w:val="003447BF"/>
    <w:rsid w:val="00344AB9"/>
    <w:rsid w:val="00344CC2"/>
    <w:rsid w:val="00345343"/>
    <w:rsid w:val="003456A5"/>
    <w:rsid w:val="003457A0"/>
    <w:rsid w:val="00345961"/>
    <w:rsid w:val="00345989"/>
    <w:rsid w:val="0034646C"/>
    <w:rsid w:val="00346608"/>
    <w:rsid w:val="003466E4"/>
    <w:rsid w:val="003468EB"/>
    <w:rsid w:val="00346A78"/>
    <w:rsid w:val="00346B93"/>
    <w:rsid w:val="00346EFF"/>
    <w:rsid w:val="00347698"/>
    <w:rsid w:val="003477E8"/>
    <w:rsid w:val="003479B7"/>
    <w:rsid w:val="00347C4F"/>
    <w:rsid w:val="00347ED1"/>
    <w:rsid w:val="00347F49"/>
    <w:rsid w:val="0035033A"/>
    <w:rsid w:val="00350B34"/>
    <w:rsid w:val="00350B6E"/>
    <w:rsid w:val="00350D9C"/>
    <w:rsid w:val="00351A48"/>
    <w:rsid w:val="00351AB1"/>
    <w:rsid w:val="00351E3B"/>
    <w:rsid w:val="00351FE0"/>
    <w:rsid w:val="00352150"/>
    <w:rsid w:val="00352744"/>
    <w:rsid w:val="00352E8C"/>
    <w:rsid w:val="00353035"/>
    <w:rsid w:val="00353097"/>
    <w:rsid w:val="00353367"/>
    <w:rsid w:val="00353DBB"/>
    <w:rsid w:val="00353F57"/>
    <w:rsid w:val="003542C3"/>
    <w:rsid w:val="00354434"/>
    <w:rsid w:val="0035498B"/>
    <w:rsid w:val="00354DC5"/>
    <w:rsid w:val="00354F53"/>
    <w:rsid w:val="003552F8"/>
    <w:rsid w:val="003558BE"/>
    <w:rsid w:val="00356194"/>
    <w:rsid w:val="00356329"/>
    <w:rsid w:val="00356530"/>
    <w:rsid w:val="003566CE"/>
    <w:rsid w:val="003567ED"/>
    <w:rsid w:val="0035732F"/>
    <w:rsid w:val="0035787E"/>
    <w:rsid w:val="00357A9E"/>
    <w:rsid w:val="00357E7C"/>
    <w:rsid w:val="0036067D"/>
    <w:rsid w:val="00360BE7"/>
    <w:rsid w:val="003610F8"/>
    <w:rsid w:val="0036120F"/>
    <w:rsid w:val="0036124C"/>
    <w:rsid w:val="0036145D"/>
    <w:rsid w:val="00361531"/>
    <w:rsid w:val="003615AC"/>
    <w:rsid w:val="00361C44"/>
    <w:rsid w:val="00361E32"/>
    <w:rsid w:val="00361F0E"/>
    <w:rsid w:val="00361F96"/>
    <w:rsid w:val="00362002"/>
    <w:rsid w:val="003621AF"/>
    <w:rsid w:val="00362235"/>
    <w:rsid w:val="003622C5"/>
    <w:rsid w:val="00362702"/>
    <w:rsid w:val="003629CF"/>
    <w:rsid w:val="00362DF0"/>
    <w:rsid w:val="00362E2C"/>
    <w:rsid w:val="0036315C"/>
    <w:rsid w:val="003634B4"/>
    <w:rsid w:val="00363760"/>
    <w:rsid w:val="003639C4"/>
    <w:rsid w:val="00363AEF"/>
    <w:rsid w:val="00363EF1"/>
    <w:rsid w:val="00363F2A"/>
    <w:rsid w:val="00363F3D"/>
    <w:rsid w:val="0036414D"/>
    <w:rsid w:val="00364255"/>
    <w:rsid w:val="0036436C"/>
    <w:rsid w:val="003643CC"/>
    <w:rsid w:val="0036480E"/>
    <w:rsid w:val="003649C2"/>
    <w:rsid w:val="00364A17"/>
    <w:rsid w:val="00364CD9"/>
    <w:rsid w:val="0036516C"/>
    <w:rsid w:val="0036522C"/>
    <w:rsid w:val="0036538A"/>
    <w:rsid w:val="003653FD"/>
    <w:rsid w:val="0036550F"/>
    <w:rsid w:val="003656E0"/>
    <w:rsid w:val="00365774"/>
    <w:rsid w:val="00365D08"/>
    <w:rsid w:val="00365D50"/>
    <w:rsid w:val="00365E34"/>
    <w:rsid w:val="00365E73"/>
    <w:rsid w:val="00365EA8"/>
    <w:rsid w:val="003660FA"/>
    <w:rsid w:val="00366285"/>
    <w:rsid w:val="003663BD"/>
    <w:rsid w:val="003669EE"/>
    <w:rsid w:val="00366C56"/>
    <w:rsid w:val="00366CBA"/>
    <w:rsid w:val="00367163"/>
    <w:rsid w:val="00367407"/>
    <w:rsid w:val="00367565"/>
    <w:rsid w:val="0036769E"/>
    <w:rsid w:val="00367B61"/>
    <w:rsid w:val="00367E3F"/>
    <w:rsid w:val="003701E1"/>
    <w:rsid w:val="0037031B"/>
    <w:rsid w:val="003708A9"/>
    <w:rsid w:val="00370B50"/>
    <w:rsid w:val="00370B65"/>
    <w:rsid w:val="00370D38"/>
    <w:rsid w:val="00371052"/>
    <w:rsid w:val="003711C8"/>
    <w:rsid w:val="00371382"/>
    <w:rsid w:val="0037159E"/>
    <w:rsid w:val="00371918"/>
    <w:rsid w:val="00371A4B"/>
    <w:rsid w:val="00372203"/>
    <w:rsid w:val="00372580"/>
    <w:rsid w:val="00372800"/>
    <w:rsid w:val="00372BDB"/>
    <w:rsid w:val="0037332D"/>
    <w:rsid w:val="00373589"/>
    <w:rsid w:val="00373784"/>
    <w:rsid w:val="0037383E"/>
    <w:rsid w:val="00373864"/>
    <w:rsid w:val="00373ED8"/>
    <w:rsid w:val="00373F36"/>
    <w:rsid w:val="00373F8F"/>
    <w:rsid w:val="0037409B"/>
    <w:rsid w:val="0037471F"/>
    <w:rsid w:val="0037492D"/>
    <w:rsid w:val="00374A93"/>
    <w:rsid w:val="00374BC6"/>
    <w:rsid w:val="00374BFC"/>
    <w:rsid w:val="00375084"/>
    <w:rsid w:val="003753B0"/>
    <w:rsid w:val="003759CB"/>
    <w:rsid w:val="003759D8"/>
    <w:rsid w:val="00375BC8"/>
    <w:rsid w:val="00375C16"/>
    <w:rsid w:val="00375DD5"/>
    <w:rsid w:val="0037636E"/>
    <w:rsid w:val="003763F7"/>
    <w:rsid w:val="0037644B"/>
    <w:rsid w:val="0037685B"/>
    <w:rsid w:val="003769A9"/>
    <w:rsid w:val="00376A1C"/>
    <w:rsid w:val="00376DC8"/>
    <w:rsid w:val="00377413"/>
    <w:rsid w:val="003774F2"/>
    <w:rsid w:val="0037799D"/>
    <w:rsid w:val="0038002D"/>
    <w:rsid w:val="003800D1"/>
    <w:rsid w:val="00380139"/>
    <w:rsid w:val="0038049E"/>
    <w:rsid w:val="003804D3"/>
    <w:rsid w:val="003805A5"/>
    <w:rsid w:val="003806AE"/>
    <w:rsid w:val="00380709"/>
    <w:rsid w:val="00380B49"/>
    <w:rsid w:val="00380C0C"/>
    <w:rsid w:val="003810A3"/>
    <w:rsid w:val="00381462"/>
    <w:rsid w:val="003817DC"/>
    <w:rsid w:val="003817E8"/>
    <w:rsid w:val="00381F89"/>
    <w:rsid w:val="00381FC7"/>
    <w:rsid w:val="003821D0"/>
    <w:rsid w:val="00382DB6"/>
    <w:rsid w:val="00382E4B"/>
    <w:rsid w:val="00382F57"/>
    <w:rsid w:val="0038319A"/>
    <w:rsid w:val="00383543"/>
    <w:rsid w:val="003836C5"/>
    <w:rsid w:val="00383BD2"/>
    <w:rsid w:val="00383D98"/>
    <w:rsid w:val="00383EBA"/>
    <w:rsid w:val="00384080"/>
    <w:rsid w:val="00384141"/>
    <w:rsid w:val="003846A6"/>
    <w:rsid w:val="003848E5"/>
    <w:rsid w:val="00384B2A"/>
    <w:rsid w:val="00384CF8"/>
    <w:rsid w:val="00385213"/>
    <w:rsid w:val="00385589"/>
    <w:rsid w:val="003858E0"/>
    <w:rsid w:val="00385C0C"/>
    <w:rsid w:val="00385D7D"/>
    <w:rsid w:val="00385DE8"/>
    <w:rsid w:val="00385F7E"/>
    <w:rsid w:val="003861F1"/>
    <w:rsid w:val="00386235"/>
    <w:rsid w:val="003862C3"/>
    <w:rsid w:val="00386ED8"/>
    <w:rsid w:val="00386F58"/>
    <w:rsid w:val="00386FAD"/>
    <w:rsid w:val="0038713C"/>
    <w:rsid w:val="00387A0B"/>
    <w:rsid w:val="00387D37"/>
    <w:rsid w:val="00387E4E"/>
    <w:rsid w:val="00387EB6"/>
    <w:rsid w:val="003900D0"/>
    <w:rsid w:val="00390139"/>
    <w:rsid w:val="003906D8"/>
    <w:rsid w:val="00390803"/>
    <w:rsid w:val="00390C46"/>
    <w:rsid w:val="00390C89"/>
    <w:rsid w:val="00390CF9"/>
    <w:rsid w:val="00390D6E"/>
    <w:rsid w:val="00391126"/>
    <w:rsid w:val="003912F3"/>
    <w:rsid w:val="0039152C"/>
    <w:rsid w:val="00391D4E"/>
    <w:rsid w:val="003920B9"/>
    <w:rsid w:val="00392147"/>
    <w:rsid w:val="0039220E"/>
    <w:rsid w:val="00392464"/>
    <w:rsid w:val="0039246C"/>
    <w:rsid w:val="00392666"/>
    <w:rsid w:val="003932DB"/>
    <w:rsid w:val="00393665"/>
    <w:rsid w:val="0039374D"/>
    <w:rsid w:val="00393773"/>
    <w:rsid w:val="003938A6"/>
    <w:rsid w:val="0039397E"/>
    <w:rsid w:val="00393A35"/>
    <w:rsid w:val="00393B31"/>
    <w:rsid w:val="00393BA0"/>
    <w:rsid w:val="00393CB4"/>
    <w:rsid w:val="00393DA6"/>
    <w:rsid w:val="0039448A"/>
    <w:rsid w:val="00394567"/>
    <w:rsid w:val="0039480B"/>
    <w:rsid w:val="00394BDC"/>
    <w:rsid w:val="00394C0E"/>
    <w:rsid w:val="00394C7D"/>
    <w:rsid w:val="00394CF7"/>
    <w:rsid w:val="00394DE3"/>
    <w:rsid w:val="00395125"/>
    <w:rsid w:val="003951E3"/>
    <w:rsid w:val="00395358"/>
    <w:rsid w:val="0039547E"/>
    <w:rsid w:val="00395742"/>
    <w:rsid w:val="00395C24"/>
    <w:rsid w:val="00396052"/>
    <w:rsid w:val="0039622B"/>
    <w:rsid w:val="00396317"/>
    <w:rsid w:val="0039657D"/>
    <w:rsid w:val="00396698"/>
    <w:rsid w:val="00396A9B"/>
    <w:rsid w:val="00396D63"/>
    <w:rsid w:val="00396EA5"/>
    <w:rsid w:val="00396ED4"/>
    <w:rsid w:val="0039728A"/>
    <w:rsid w:val="003976D0"/>
    <w:rsid w:val="003979FB"/>
    <w:rsid w:val="00397C9D"/>
    <w:rsid w:val="00397CFA"/>
    <w:rsid w:val="003A01FC"/>
    <w:rsid w:val="003A0283"/>
    <w:rsid w:val="003A050A"/>
    <w:rsid w:val="003A063B"/>
    <w:rsid w:val="003A06BD"/>
    <w:rsid w:val="003A0927"/>
    <w:rsid w:val="003A0BD4"/>
    <w:rsid w:val="003A0D26"/>
    <w:rsid w:val="003A0EB1"/>
    <w:rsid w:val="003A0EEB"/>
    <w:rsid w:val="003A0FE7"/>
    <w:rsid w:val="003A1057"/>
    <w:rsid w:val="003A123F"/>
    <w:rsid w:val="003A1293"/>
    <w:rsid w:val="003A135B"/>
    <w:rsid w:val="003A1385"/>
    <w:rsid w:val="003A151B"/>
    <w:rsid w:val="003A1661"/>
    <w:rsid w:val="003A166C"/>
    <w:rsid w:val="003A1AA5"/>
    <w:rsid w:val="003A1BAD"/>
    <w:rsid w:val="003A1D20"/>
    <w:rsid w:val="003A1E92"/>
    <w:rsid w:val="003A20A9"/>
    <w:rsid w:val="003A211C"/>
    <w:rsid w:val="003A23BB"/>
    <w:rsid w:val="003A2791"/>
    <w:rsid w:val="003A2821"/>
    <w:rsid w:val="003A2DDB"/>
    <w:rsid w:val="003A2E5E"/>
    <w:rsid w:val="003A3196"/>
    <w:rsid w:val="003A32DC"/>
    <w:rsid w:val="003A376E"/>
    <w:rsid w:val="003A38AE"/>
    <w:rsid w:val="003A399F"/>
    <w:rsid w:val="003A3EBD"/>
    <w:rsid w:val="003A3F61"/>
    <w:rsid w:val="003A4031"/>
    <w:rsid w:val="003A4191"/>
    <w:rsid w:val="003A4333"/>
    <w:rsid w:val="003A4500"/>
    <w:rsid w:val="003A4C25"/>
    <w:rsid w:val="003A4CFD"/>
    <w:rsid w:val="003A4EA3"/>
    <w:rsid w:val="003A521D"/>
    <w:rsid w:val="003A53C1"/>
    <w:rsid w:val="003A553F"/>
    <w:rsid w:val="003A5772"/>
    <w:rsid w:val="003A5A76"/>
    <w:rsid w:val="003A5A88"/>
    <w:rsid w:val="003A5AB4"/>
    <w:rsid w:val="003A5F19"/>
    <w:rsid w:val="003A615F"/>
    <w:rsid w:val="003A62BC"/>
    <w:rsid w:val="003A63DD"/>
    <w:rsid w:val="003A68C3"/>
    <w:rsid w:val="003A699A"/>
    <w:rsid w:val="003A6D0A"/>
    <w:rsid w:val="003A6DF5"/>
    <w:rsid w:val="003A6F06"/>
    <w:rsid w:val="003A71B7"/>
    <w:rsid w:val="003A7545"/>
    <w:rsid w:val="003A757C"/>
    <w:rsid w:val="003A79EA"/>
    <w:rsid w:val="003A7E0B"/>
    <w:rsid w:val="003A7E6F"/>
    <w:rsid w:val="003B003A"/>
    <w:rsid w:val="003B01C4"/>
    <w:rsid w:val="003B0D29"/>
    <w:rsid w:val="003B10F0"/>
    <w:rsid w:val="003B16EC"/>
    <w:rsid w:val="003B1A76"/>
    <w:rsid w:val="003B1BCD"/>
    <w:rsid w:val="003B2095"/>
    <w:rsid w:val="003B21DA"/>
    <w:rsid w:val="003B2253"/>
    <w:rsid w:val="003B2422"/>
    <w:rsid w:val="003B278F"/>
    <w:rsid w:val="003B28C0"/>
    <w:rsid w:val="003B2CBE"/>
    <w:rsid w:val="003B2E36"/>
    <w:rsid w:val="003B306F"/>
    <w:rsid w:val="003B3491"/>
    <w:rsid w:val="003B35C3"/>
    <w:rsid w:val="003B35E8"/>
    <w:rsid w:val="003B361B"/>
    <w:rsid w:val="003B391B"/>
    <w:rsid w:val="003B39E6"/>
    <w:rsid w:val="003B3BD3"/>
    <w:rsid w:val="003B3E9E"/>
    <w:rsid w:val="003B41C4"/>
    <w:rsid w:val="003B4392"/>
    <w:rsid w:val="003B452D"/>
    <w:rsid w:val="003B4A91"/>
    <w:rsid w:val="003B5C4E"/>
    <w:rsid w:val="003B6011"/>
    <w:rsid w:val="003B61E9"/>
    <w:rsid w:val="003B6542"/>
    <w:rsid w:val="003B6A1C"/>
    <w:rsid w:val="003B6DFC"/>
    <w:rsid w:val="003B70C0"/>
    <w:rsid w:val="003B7626"/>
    <w:rsid w:val="003B7819"/>
    <w:rsid w:val="003B7833"/>
    <w:rsid w:val="003B79D7"/>
    <w:rsid w:val="003B7F49"/>
    <w:rsid w:val="003C0D2C"/>
    <w:rsid w:val="003C0E94"/>
    <w:rsid w:val="003C0F2B"/>
    <w:rsid w:val="003C110A"/>
    <w:rsid w:val="003C1111"/>
    <w:rsid w:val="003C128F"/>
    <w:rsid w:val="003C13A3"/>
    <w:rsid w:val="003C14C7"/>
    <w:rsid w:val="003C15C9"/>
    <w:rsid w:val="003C181A"/>
    <w:rsid w:val="003C18AE"/>
    <w:rsid w:val="003C1945"/>
    <w:rsid w:val="003C1B40"/>
    <w:rsid w:val="003C1CC6"/>
    <w:rsid w:val="003C1DB2"/>
    <w:rsid w:val="003C1F84"/>
    <w:rsid w:val="003C20FD"/>
    <w:rsid w:val="003C21A5"/>
    <w:rsid w:val="003C21AC"/>
    <w:rsid w:val="003C2257"/>
    <w:rsid w:val="003C23F8"/>
    <w:rsid w:val="003C246F"/>
    <w:rsid w:val="003C2927"/>
    <w:rsid w:val="003C297F"/>
    <w:rsid w:val="003C2C8A"/>
    <w:rsid w:val="003C2E68"/>
    <w:rsid w:val="003C325E"/>
    <w:rsid w:val="003C3283"/>
    <w:rsid w:val="003C3374"/>
    <w:rsid w:val="003C33AA"/>
    <w:rsid w:val="003C36CC"/>
    <w:rsid w:val="003C3966"/>
    <w:rsid w:val="003C3AA4"/>
    <w:rsid w:val="003C3C1B"/>
    <w:rsid w:val="003C3C7E"/>
    <w:rsid w:val="003C3F8F"/>
    <w:rsid w:val="003C4071"/>
    <w:rsid w:val="003C433B"/>
    <w:rsid w:val="003C4460"/>
    <w:rsid w:val="003C471D"/>
    <w:rsid w:val="003C4965"/>
    <w:rsid w:val="003C4E04"/>
    <w:rsid w:val="003C4ED7"/>
    <w:rsid w:val="003C55E9"/>
    <w:rsid w:val="003C5644"/>
    <w:rsid w:val="003C5981"/>
    <w:rsid w:val="003C5A3D"/>
    <w:rsid w:val="003C61CE"/>
    <w:rsid w:val="003C648F"/>
    <w:rsid w:val="003C6573"/>
    <w:rsid w:val="003C68B1"/>
    <w:rsid w:val="003C68FC"/>
    <w:rsid w:val="003C69F9"/>
    <w:rsid w:val="003C6C8A"/>
    <w:rsid w:val="003C6DF4"/>
    <w:rsid w:val="003C6E00"/>
    <w:rsid w:val="003C6E45"/>
    <w:rsid w:val="003C6F5D"/>
    <w:rsid w:val="003C75EB"/>
    <w:rsid w:val="003C7987"/>
    <w:rsid w:val="003C7D04"/>
    <w:rsid w:val="003D05CB"/>
    <w:rsid w:val="003D0884"/>
    <w:rsid w:val="003D08E6"/>
    <w:rsid w:val="003D0AC6"/>
    <w:rsid w:val="003D0E8A"/>
    <w:rsid w:val="003D1017"/>
    <w:rsid w:val="003D124A"/>
    <w:rsid w:val="003D1348"/>
    <w:rsid w:val="003D145C"/>
    <w:rsid w:val="003D1B69"/>
    <w:rsid w:val="003D284B"/>
    <w:rsid w:val="003D2875"/>
    <w:rsid w:val="003D2C0F"/>
    <w:rsid w:val="003D3372"/>
    <w:rsid w:val="003D35C2"/>
    <w:rsid w:val="003D3712"/>
    <w:rsid w:val="003D38A4"/>
    <w:rsid w:val="003D3B1E"/>
    <w:rsid w:val="003D3EA9"/>
    <w:rsid w:val="003D4273"/>
    <w:rsid w:val="003D42E7"/>
    <w:rsid w:val="003D4413"/>
    <w:rsid w:val="003D4868"/>
    <w:rsid w:val="003D48D5"/>
    <w:rsid w:val="003D495A"/>
    <w:rsid w:val="003D49ED"/>
    <w:rsid w:val="003D4AE6"/>
    <w:rsid w:val="003D4B5F"/>
    <w:rsid w:val="003D4D29"/>
    <w:rsid w:val="003D4E43"/>
    <w:rsid w:val="003D4ECA"/>
    <w:rsid w:val="003D4F4A"/>
    <w:rsid w:val="003D4F81"/>
    <w:rsid w:val="003D50F3"/>
    <w:rsid w:val="003D53CA"/>
    <w:rsid w:val="003D5521"/>
    <w:rsid w:val="003D5617"/>
    <w:rsid w:val="003D5770"/>
    <w:rsid w:val="003D5A73"/>
    <w:rsid w:val="003D5A7B"/>
    <w:rsid w:val="003D5CD0"/>
    <w:rsid w:val="003D6185"/>
    <w:rsid w:val="003D637B"/>
    <w:rsid w:val="003D6532"/>
    <w:rsid w:val="003D6767"/>
    <w:rsid w:val="003D6843"/>
    <w:rsid w:val="003D6BBC"/>
    <w:rsid w:val="003D6C7D"/>
    <w:rsid w:val="003D6E34"/>
    <w:rsid w:val="003D6E3C"/>
    <w:rsid w:val="003D6F2A"/>
    <w:rsid w:val="003D6FEC"/>
    <w:rsid w:val="003D7544"/>
    <w:rsid w:val="003D75B5"/>
    <w:rsid w:val="003D7629"/>
    <w:rsid w:val="003D7881"/>
    <w:rsid w:val="003D79C0"/>
    <w:rsid w:val="003D7BE5"/>
    <w:rsid w:val="003D7C9D"/>
    <w:rsid w:val="003D7DC8"/>
    <w:rsid w:val="003E0723"/>
    <w:rsid w:val="003E0D8D"/>
    <w:rsid w:val="003E1151"/>
    <w:rsid w:val="003E1279"/>
    <w:rsid w:val="003E1300"/>
    <w:rsid w:val="003E1832"/>
    <w:rsid w:val="003E1D8B"/>
    <w:rsid w:val="003E213F"/>
    <w:rsid w:val="003E21CE"/>
    <w:rsid w:val="003E22D5"/>
    <w:rsid w:val="003E26F5"/>
    <w:rsid w:val="003E2AE5"/>
    <w:rsid w:val="003E2AED"/>
    <w:rsid w:val="003E2CE5"/>
    <w:rsid w:val="003E2F16"/>
    <w:rsid w:val="003E2F2F"/>
    <w:rsid w:val="003E3240"/>
    <w:rsid w:val="003E3B43"/>
    <w:rsid w:val="003E3B8E"/>
    <w:rsid w:val="003E3D43"/>
    <w:rsid w:val="003E4168"/>
    <w:rsid w:val="003E42F9"/>
    <w:rsid w:val="003E4DE3"/>
    <w:rsid w:val="003E4E6D"/>
    <w:rsid w:val="003E52AE"/>
    <w:rsid w:val="003E5523"/>
    <w:rsid w:val="003E5561"/>
    <w:rsid w:val="003E5627"/>
    <w:rsid w:val="003E5641"/>
    <w:rsid w:val="003E56B9"/>
    <w:rsid w:val="003E5AC3"/>
    <w:rsid w:val="003E5AE1"/>
    <w:rsid w:val="003E5BF1"/>
    <w:rsid w:val="003E627D"/>
    <w:rsid w:val="003E63AD"/>
    <w:rsid w:val="003E65E5"/>
    <w:rsid w:val="003E706E"/>
    <w:rsid w:val="003E741C"/>
    <w:rsid w:val="003E75F1"/>
    <w:rsid w:val="003E7811"/>
    <w:rsid w:val="003E7A76"/>
    <w:rsid w:val="003E7ABF"/>
    <w:rsid w:val="003E7B80"/>
    <w:rsid w:val="003E7EC9"/>
    <w:rsid w:val="003F0493"/>
    <w:rsid w:val="003F0628"/>
    <w:rsid w:val="003F078D"/>
    <w:rsid w:val="003F09BC"/>
    <w:rsid w:val="003F0A6F"/>
    <w:rsid w:val="003F0D19"/>
    <w:rsid w:val="003F1041"/>
    <w:rsid w:val="003F11C4"/>
    <w:rsid w:val="003F137B"/>
    <w:rsid w:val="003F147A"/>
    <w:rsid w:val="003F17DC"/>
    <w:rsid w:val="003F1BF2"/>
    <w:rsid w:val="003F23FE"/>
    <w:rsid w:val="003F2479"/>
    <w:rsid w:val="003F2564"/>
    <w:rsid w:val="003F272B"/>
    <w:rsid w:val="003F2D88"/>
    <w:rsid w:val="003F3597"/>
    <w:rsid w:val="003F37C7"/>
    <w:rsid w:val="003F3992"/>
    <w:rsid w:val="003F3BBD"/>
    <w:rsid w:val="003F3C46"/>
    <w:rsid w:val="003F3EA2"/>
    <w:rsid w:val="003F4352"/>
    <w:rsid w:val="003F4513"/>
    <w:rsid w:val="003F45F2"/>
    <w:rsid w:val="003F495D"/>
    <w:rsid w:val="003F4AC5"/>
    <w:rsid w:val="003F4EC5"/>
    <w:rsid w:val="003F4F67"/>
    <w:rsid w:val="003F503D"/>
    <w:rsid w:val="003F5098"/>
    <w:rsid w:val="003F55DD"/>
    <w:rsid w:val="003F5A5F"/>
    <w:rsid w:val="003F5C43"/>
    <w:rsid w:val="003F5E18"/>
    <w:rsid w:val="003F6509"/>
    <w:rsid w:val="003F65E5"/>
    <w:rsid w:val="003F66C4"/>
    <w:rsid w:val="003F6F7C"/>
    <w:rsid w:val="003F7EC1"/>
    <w:rsid w:val="00400045"/>
    <w:rsid w:val="004000CD"/>
    <w:rsid w:val="004000EB"/>
    <w:rsid w:val="0040052D"/>
    <w:rsid w:val="004006F5"/>
    <w:rsid w:val="00400702"/>
    <w:rsid w:val="004007D4"/>
    <w:rsid w:val="0040083A"/>
    <w:rsid w:val="004008CE"/>
    <w:rsid w:val="00400C74"/>
    <w:rsid w:val="004011C4"/>
    <w:rsid w:val="004016B0"/>
    <w:rsid w:val="00401A69"/>
    <w:rsid w:val="00401E9B"/>
    <w:rsid w:val="00401F2F"/>
    <w:rsid w:val="00401FBC"/>
    <w:rsid w:val="00402035"/>
    <w:rsid w:val="004020CC"/>
    <w:rsid w:val="0040220D"/>
    <w:rsid w:val="0040228F"/>
    <w:rsid w:val="004028E2"/>
    <w:rsid w:val="0040299D"/>
    <w:rsid w:val="00402D31"/>
    <w:rsid w:val="00402D40"/>
    <w:rsid w:val="00402EE4"/>
    <w:rsid w:val="00402F53"/>
    <w:rsid w:val="00402FED"/>
    <w:rsid w:val="00403186"/>
    <w:rsid w:val="004031BC"/>
    <w:rsid w:val="004032C0"/>
    <w:rsid w:val="004035C1"/>
    <w:rsid w:val="00403F3E"/>
    <w:rsid w:val="00404159"/>
    <w:rsid w:val="004042CF"/>
    <w:rsid w:val="00404411"/>
    <w:rsid w:val="004044B0"/>
    <w:rsid w:val="00404635"/>
    <w:rsid w:val="0040466A"/>
    <w:rsid w:val="00404853"/>
    <w:rsid w:val="0040497C"/>
    <w:rsid w:val="00404A0F"/>
    <w:rsid w:val="00404F7E"/>
    <w:rsid w:val="004050BD"/>
    <w:rsid w:val="00405420"/>
    <w:rsid w:val="004055B5"/>
    <w:rsid w:val="00405902"/>
    <w:rsid w:val="00405997"/>
    <w:rsid w:val="00405E94"/>
    <w:rsid w:val="00406094"/>
    <w:rsid w:val="004064BA"/>
    <w:rsid w:val="0040675A"/>
    <w:rsid w:val="00406A94"/>
    <w:rsid w:val="00407170"/>
    <w:rsid w:val="00407486"/>
    <w:rsid w:val="00407800"/>
    <w:rsid w:val="004079BB"/>
    <w:rsid w:val="00407A23"/>
    <w:rsid w:val="00407C08"/>
    <w:rsid w:val="00407D32"/>
    <w:rsid w:val="004101CA"/>
    <w:rsid w:val="00410235"/>
    <w:rsid w:val="004105E5"/>
    <w:rsid w:val="00410CC5"/>
    <w:rsid w:val="00411371"/>
    <w:rsid w:val="0041190D"/>
    <w:rsid w:val="00411994"/>
    <w:rsid w:val="00411A10"/>
    <w:rsid w:val="00411B22"/>
    <w:rsid w:val="00411C71"/>
    <w:rsid w:val="004121ED"/>
    <w:rsid w:val="00412588"/>
    <w:rsid w:val="00412762"/>
    <w:rsid w:val="0041294D"/>
    <w:rsid w:val="00412E27"/>
    <w:rsid w:val="00412FAD"/>
    <w:rsid w:val="0041341D"/>
    <w:rsid w:val="0041345B"/>
    <w:rsid w:val="00413769"/>
    <w:rsid w:val="004138FA"/>
    <w:rsid w:val="00413B9B"/>
    <w:rsid w:val="00413F39"/>
    <w:rsid w:val="00413FC6"/>
    <w:rsid w:val="0041421A"/>
    <w:rsid w:val="00414392"/>
    <w:rsid w:val="004144E8"/>
    <w:rsid w:val="004148D5"/>
    <w:rsid w:val="00414911"/>
    <w:rsid w:val="00414C24"/>
    <w:rsid w:val="00414CF4"/>
    <w:rsid w:val="00414E68"/>
    <w:rsid w:val="004151FC"/>
    <w:rsid w:val="0041535E"/>
    <w:rsid w:val="00415BCC"/>
    <w:rsid w:val="00415D9E"/>
    <w:rsid w:val="00415DDA"/>
    <w:rsid w:val="00415E7F"/>
    <w:rsid w:val="00416749"/>
    <w:rsid w:val="00416C5F"/>
    <w:rsid w:val="00416D72"/>
    <w:rsid w:val="00417399"/>
    <w:rsid w:val="00417413"/>
    <w:rsid w:val="00417484"/>
    <w:rsid w:val="0041756A"/>
    <w:rsid w:val="00417782"/>
    <w:rsid w:val="00417BA9"/>
    <w:rsid w:val="00417C23"/>
    <w:rsid w:val="00417C6B"/>
    <w:rsid w:val="0042011E"/>
    <w:rsid w:val="00420247"/>
    <w:rsid w:val="0042034B"/>
    <w:rsid w:val="004204DD"/>
    <w:rsid w:val="00420557"/>
    <w:rsid w:val="004206F3"/>
    <w:rsid w:val="00420986"/>
    <w:rsid w:val="00420A9F"/>
    <w:rsid w:val="00420BB3"/>
    <w:rsid w:val="004211E6"/>
    <w:rsid w:val="0042120A"/>
    <w:rsid w:val="0042127E"/>
    <w:rsid w:val="004216EB"/>
    <w:rsid w:val="00421713"/>
    <w:rsid w:val="004218F6"/>
    <w:rsid w:val="00421911"/>
    <w:rsid w:val="00421971"/>
    <w:rsid w:val="00421A2F"/>
    <w:rsid w:val="00421CD5"/>
    <w:rsid w:val="00421D25"/>
    <w:rsid w:val="00421E0C"/>
    <w:rsid w:val="00422208"/>
    <w:rsid w:val="00422248"/>
    <w:rsid w:val="0042236F"/>
    <w:rsid w:val="00422A4C"/>
    <w:rsid w:val="00422B16"/>
    <w:rsid w:val="00422BA1"/>
    <w:rsid w:val="00422BAE"/>
    <w:rsid w:val="004230F5"/>
    <w:rsid w:val="00423392"/>
    <w:rsid w:val="004235BE"/>
    <w:rsid w:val="0042366F"/>
    <w:rsid w:val="00423A2F"/>
    <w:rsid w:val="00423F8C"/>
    <w:rsid w:val="00423FA2"/>
    <w:rsid w:val="004241D5"/>
    <w:rsid w:val="004244CB"/>
    <w:rsid w:val="004246F1"/>
    <w:rsid w:val="004247BB"/>
    <w:rsid w:val="004248FD"/>
    <w:rsid w:val="00424AA7"/>
    <w:rsid w:val="00424BDC"/>
    <w:rsid w:val="00425069"/>
    <w:rsid w:val="0042510C"/>
    <w:rsid w:val="004252AE"/>
    <w:rsid w:val="00425479"/>
    <w:rsid w:val="004256FE"/>
    <w:rsid w:val="00425883"/>
    <w:rsid w:val="00425BC3"/>
    <w:rsid w:val="00425D53"/>
    <w:rsid w:val="00425FB8"/>
    <w:rsid w:val="00426120"/>
    <w:rsid w:val="004262E4"/>
    <w:rsid w:val="0042636C"/>
    <w:rsid w:val="004265E4"/>
    <w:rsid w:val="00426686"/>
    <w:rsid w:val="004268BB"/>
    <w:rsid w:val="00426A7C"/>
    <w:rsid w:val="00426CE7"/>
    <w:rsid w:val="00426E31"/>
    <w:rsid w:val="00426FA1"/>
    <w:rsid w:val="0042727D"/>
    <w:rsid w:val="0042757B"/>
    <w:rsid w:val="0042775A"/>
    <w:rsid w:val="004278E2"/>
    <w:rsid w:val="004279B5"/>
    <w:rsid w:val="00427AC8"/>
    <w:rsid w:val="00427C23"/>
    <w:rsid w:val="00427E10"/>
    <w:rsid w:val="00427E86"/>
    <w:rsid w:val="00430314"/>
    <w:rsid w:val="00430CD9"/>
    <w:rsid w:val="00430D3E"/>
    <w:rsid w:val="004313A5"/>
    <w:rsid w:val="0043172E"/>
    <w:rsid w:val="0043198A"/>
    <w:rsid w:val="00431D94"/>
    <w:rsid w:val="00431DCA"/>
    <w:rsid w:val="004320CE"/>
    <w:rsid w:val="004322F4"/>
    <w:rsid w:val="00432491"/>
    <w:rsid w:val="004325E7"/>
    <w:rsid w:val="00432746"/>
    <w:rsid w:val="00432AE4"/>
    <w:rsid w:val="00432B3D"/>
    <w:rsid w:val="00432D01"/>
    <w:rsid w:val="00432EB1"/>
    <w:rsid w:val="00433024"/>
    <w:rsid w:val="004334C6"/>
    <w:rsid w:val="0043383A"/>
    <w:rsid w:val="00433CC8"/>
    <w:rsid w:val="00433F86"/>
    <w:rsid w:val="0043403C"/>
    <w:rsid w:val="0043444B"/>
    <w:rsid w:val="004344B8"/>
    <w:rsid w:val="0043457D"/>
    <w:rsid w:val="00434889"/>
    <w:rsid w:val="0043493F"/>
    <w:rsid w:val="00434C69"/>
    <w:rsid w:val="00434D90"/>
    <w:rsid w:val="00434E0A"/>
    <w:rsid w:val="00434FC5"/>
    <w:rsid w:val="004353F0"/>
    <w:rsid w:val="00435877"/>
    <w:rsid w:val="00435878"/>
    <w:rsid w:val="00435BFF"/>
    <w:rsid w:val="00435C23"/>
    <w:rsid w:val="00435F08"/>
    <w:rsid w:val="00435FA4"/>
    <w:rsid w:val="0043666E"/>
    <w:rsid w:val="004366B4"/>
    <w:rsid w:val="00436EF9"/>
    <w:rsid w:val="0043722F"/>
    <w:rsid w:val="004373DC"/>
    <w:rsid w:val="0043783B"/>
    <w:rsid w:val="00437903"/>
    <w:rsid w:val="00437BDD"/>
    <w:rsid w:val="00437E43"/>
    <w:rsid w:val="00440087"/>
    <w:rsid w:val="00440386"/>
    <w:rsid w:val="004403E5"/>
    <w:rsid w:val="00440AFC"/>
    <w:rsid w:val="00440C25"/>
    <w:rsid w:val="00440CDF"/>
    <w:rsid w:val="00440DAF"/>
    <w:rsid w:val="0044128A"/>
    <w:rsid w:val="004416CD"/>
    <w:rsid w:val="004416F1"/>
    <w:rsid w:val="00441EAB"/>
    <w:rsid w:val="0044203B"/>
    <w:rsid w:val="004422AE"/>
    <w:rsid w:val="004427B9"/>
    <w:rsid w:val="0044285D"/>
    <w:rsid w:val="00442939"/>
    <w:rsid w:val="00442BE3"/>
    <w:rsid w:val="00442BF6"/>
    <w:rsid w:val="00442D4C"/>
    <w:rsid w:val="00442E50"/>
    <w:rsid w:val="00442EF0"/>
    <w:rsid w:val="00443138"/>
    <w:rsid w:val="004432E5"/>
    <w:rsid w:val="004433E9"/>
    <w:rsid w:val="00443576"/>
    <w:rsid w:val="00443716"/>
    <w:rsid w:val="0044371A"/>
    <w:rsid w:val="00443853"/>
    <w:rsid w:val="00443A08"/>
    <w:rsid w:val="00443D23"/>
    <w:rsid w:val="00443E7C"/>
    <w:rsid w:val="00444791"/>
    <w:rsid w:val="00444899"/>
    <w:rsid w:val="004448D4"/>
    <w:rsid w:val="00444BD5"/>
    <w:rsid w:val="00444EA3"/>
    <w:rsid w:val="00444FDD"/>
    <w:rsid w:val="004452BD"/>
    <w:rsid w:val="0044536D"/>
    <w:rsid w:val="0044545D"/>
    <w:rsid w:val="0044583B"/>
    <w:rsid w:val="00445E65"/>
    <w:rsid w:val="00445F23"/>
    <w:rsid w:val="00446396"/>
    <w:rsid w:val="004463B7"/>
    <w:rsid w:val="00446472"/>
    <w:rsid w:val="004466DB"/>
    <w:rsid w:val="00446772"/>
    <w:rsid w:val="00446933"/>
    <w:rsid w:val="00446A4F"/>
    <w:rsid w:val="00446BB3"/>
    <w:rsid w:val="004471BD"/>
    <w:rsid w:val="004474C4"/>
    <w:rsid w:val="004474D1"/>
    <w:rsid w:val="004477BD"/>
    <w:rsid w:val="004479CB"/>
    <w:rsid w:val="00447DFC"/>
    <w:rsid w:val="004500CD"/>
    <w:rsid w:val="00450133"/>
    <w:rsid w:val="0045019A"/>
    <w:rsid w:val="00450323"/>
    <w:rsid w:val="00450375"/>
    <w:rsid w:val="004506F1"/>
    <w:rsid w:val="00450B52"/>
    <w:rsid w:val="00450FAB"/>
    <w:rsid w:val="00451335"/>
    <w:rsid w:val="00451352"/>
    <w:rsid w:val="0045193C"/>
    <w:rsid w:val="004519F3"/>
    <w:rsid w:val="00451B3B"/>
    <w:rsid w:val="00451D1A"/>
    <w:rsid w:val="004520A5"/>
    <w:rsid w:val="004521C1"/>
    <w:rsid w:val="004524F7"/>
    <w:rsid w:val="00452771"/>
    <w:rsid w:val="00452903"/>
    <w:rsid w:val="00452A04"/>
    <w:rsid w:val="00452B9A"/>
    <w:rsid w:val="00452BAC"/>
    <w:rsid w:val="00452F0E"/>
    <w:rsid w:val="00453328"/>
    <w:rsid w:val="00453388"/>
    <w:rsid w:val="00453641"/>
    <w:rsid w:val="00453DDD"/>
    <w:rsid w:val="00453F35"/>
    <w:rsid w:val="00453F70"/>
    <w:rsid w:val="00454105"/>
    <w:rsid w:val="0045440C"/>
    <w:rsid w:val="00454532"/>
    <w:rsid w:val="00454621"/>
    <w:rsid w:val="0045464E"/>
    <w:rsid w:val="004548BB"/>
    <w:rsid w:val="00454920"/>
    <w:rsid w:val="00454A68"/>
    <w:rsid w:val="00454AEA"/>
    <w:rsid w:val="00454C20"/>
    <w:rsid w:val="00454E50"/>
    <w:rsid w:val="00455147"/>
    <w:rsid w:val="004553A6"/>
    <w:rsid w:val="0045563C"/>
    <w:rsid w:val="00455676"/>
    <w:rsid w:val="00455C7E"/>
    <w:rsid w:val="00455D59"/>
    <w:rsid w:val="004563D5"/>
    <w:rsid w:val="004564DA"/>
    <w:rsid w:val="00456844"/>
    <w:rsid w:val="00456892"/>
    <w:rsid w:val="004568FB"/>
    <w:rsid w:val="0045690C"/>
    <w:rsid w:val="004569C4"/>
    <w:rsid w:val="00456BE5"/>
    <w:rsid w:val="00456D36"/>
    <w:rsid w:val="00457286"/>
    <w:rsid w:val="004575A7"/>
    <w:rsid w:val="00457D68"/>
    <w:rsid w:val="00457DAB"/>
    <w:rsid w:val="00460021"/>
    <w:rsid w:val="004601AE"/>
    <w:rsid w:val="00460319"/>
    <w:rsid w:val="004605C7"/>
    <w:rsid w:val="004607E9"/>
    <w:rsid w:val="00460C5F"/>
    <w:rsid w:val="00461567"/>
    <w:rsid w:val="004616C3"/>
    <w:rsid w:val="00461741"/>
    <w:rsid w:val="00461DE1"/>
    <w:rsid w:val="00461EAE"/>
    <w:rsid w:val="00461EEB"/>
    <w:rsid w:val="004620B8"/>
    <w:rsid w:val="004621A1"/>
    <w:rsid w:val="004621E4"/>
    <w:rsid w:val="00462310"/>
    <w:rsid w:val="004624CF"/>
    <w:rsid w:val="00462DAF"/>
    <w:rsid w:val="00462E96"/>
    <w:rsid w:val="00462ED7"/>
    <w:rsid w:val="00462F41"/>
    <w:rsid w:val="004632B7"/>
    <w:rsid w:val="0046349E"/>
    <w:rsid w:val="004636AD"/>
    <w:rsid w:val="00463E6B"/>
    <w:rsid w:val="00463F20"/>
    <w:rsid w:val="004645D3"/>
    <w:rsid w:val="00464AB0"/>
    <w:rsid w:val="00464C5B"/>
    <w:rsid w:val="00464D5A"/>
    <w:rsid w:val="00464DC3"/>
    <w:rsid w:val="00464F00"/>
    <w:rsid w:val="00464F8A"/>
    <w:rsid w:val="00465151"/>
    <w:rsid w:val="00465339"/>
    <w:rsid w:val="0046540A"/>
    <w:rsid w:val="004655D0"/>
    <w:rsid w:val="00466021"/>
    <w:rsid w:val="00466093"/>
    <w:rsid w:val="004662DF"/>
    <w:rsid w:val="004662FE"/>
    <w:rsid w:val="00466360"/>
    <w:rsid w:val="00466528"/>
    <w:rsid w:val="0046661D"/>
    <w:rsid w:val="00466858"/>
    <w:rsid w:val="00466A9A"/>
    <w:rsid w:val="00466BC0"/>
    <w:rsid w:val="00466CC2"/>
    <w:rsid w:val="004671AF"/>
    <w:rsid w:val="00467371"/>
    <w:rsid w:val="004678A5"/>
    <w:rsid w:val="00467AE8"/>
    <w:rsid w:val="00467EA9"/>
    <w:rsid w:val="0047017A"/>
    <w:rsid w:val="004710F8"/>
    <w:rsid w:val="0047110D"/>
    <w:rsid w:val="0047120E"/>
    <w:rsid w:val="0047126B"/>
    <w:rsid w:val="00471534"/>
    <w:rsid w:val="0047165C"/>
    <w:rsid w:val="00471719"/>
    <w:rsid w:val="00471A69"/>
    <w:rsid w:val="00471FB3"/>
    <w:rsid w:val="0047213F"/>
    <w:rsid w:val="004721C0"/>
    <w:rsid w:val="004723DE"/>
    <w:rsid w:val="004726AD"/>
    <w:rsid w:val="00472F20"/>
    <w:rsid w:val="00473058"/>
    <w:rsid w:val="00473088"/>
    <w:rsid w:val="004733FF"/>
    <w:rsid w:val="00473438"/>
    <w:rsid w:val="00473900"/>
    <w:rsid w:val="004739E2"/>
    <w:rsid w:val="00473E1C"/>
    <w:rsid w:val="00473EA3"/>
    <w:rsid w:val="004745C8"/>
    <w:rsid w:val="00474B07"/>
    <w:rsid w:val="00474B56"/>
    <w:rsid w:val="00474B5B"/>
    <w:rsid w:val="00474D6F"/>
    <w:rsid w:val="0047526E"/>
    <w:rsid w:val="00475461"/>
    <w:rsid w:val="00475541"/>
    <w:rsid w:val="0047569D"/>
    <w:rsid w:val="00475746"/>
    <w:rsid w:val="00475996"/>
    <w:rsid w:val="00475AA3"/>
    <w:rsid w:val="00475C3B"/>
    <w:rsid w:val="00475C84"/>
    <w:rsid w:val="00475DF2"/>
    <w:rsid w:val="00475FC4"/>
    <w:rsid w:val="004769C9"/>
    <w:rsid w:val="00476B82"/>
    <w:rsid w:val="00476E8B"/>
    <w:rsid w:val="0047711D"/>
    <w:rsid w:val="004771C4"/>
    <w:rsid w:val="0047728E"/>
    <w:rsid w:val="0047744F"/>
    <w:rsid w:val="0047788A"/>
    <w:rsid w:val="00477A7D"/>
    <w:rsid w:val="004802A4"/>
    <w:rsid w:val="00480327"/>
    <w:rsid w:val="0048043F"/>
    <w:rsid w:val="00480457"/>
    <w:rsid w:val="004806EB"/>
    <w:rsid w:val="00480839"/>
    <w:rsid w:val="00480B75"/>
    <w:rsid w:val="00480C08"/>
    <w:rsid w:val="00480D18"/>
    <w:rsid w:val="0048124B"/>
    <w:rsid w:val="0048176E"/>
    <w:rsid w:val="0048189A"/>
    <w:rsid w:val="004818AD"/>
    <w:rsid w:val="00481938"/>
    <w:rsid w:val="00481F0F"/>
    <w:rsid w:val="00481F13"/>
    <w:rsid w:val="004827E7"/>
    <w:rsid w:val="004829B4"/>
    <w:rsid w:val="00482EB9"/>
    <w:rsid w:val="00482F83"/>
    <w:rsid w:val="00483082"/>
    <w:rsid w:val="0048340F"/>
    <w:rsid w:val="004838C8"/>
    <w:rsid w:val="004839EC"/>
    <w:rsid w:val="00483A59"/>
    <w:rsid w:val="00483B37"/>
    <w:rsid w:val="00483C7C"/>
    <w:rsid w:val="00483E85"/>
    <w:rsid w:val="004843D4"/>
    <w:rsid w:val="0048442A"/>
    <w:rsid w:val="0048482E"/>
    <w:rsid w:val="00484E9D"/>
    <w:rsid w:val="00485380"/>
    <w:rsid w:val="0048544F"/>
    <w:rsid w:val="00486018"/>
    <w:rsid w:val="004860C4"/>
    <w:rsid w:val="00486156"/>
    <w:rsid w:val="004863CF"/>
    <w:rsid w:val="00486501"/>
    <w:rsid w:val="004867F9"/>
    <w:rsid w:val="00486A60"/>
    <w:rsid w:val="00486C5A"/>
    <w:rsid w:val="00486E68"/>
    <w:rsid w:val="00486F8C"/>
    <w:rsid w:val="00487102"/>
    <w:rsid w:val="00487209"/>
    <w:rsid w:val="00487248"/>
    <w:rsid w:val="00487515"/>
    <w:rsid w:val="004876FF"/>
    <w:rsid w:val="004877F9"/>
    <w:rsid w:val="00487AFE"/>
    <w:rsid w:val="00487C5B"/>
    <w:rsid w:val="00487CF9"/>
    <w:rsid w:val="00487F8F"/>
    <w:rsid w:val="0049000C"/>
    <w:rsid w:val="00490311"/>
    <w:rsid w:val="00490403"/>
    <w:rsid w:val="004905A1"/>
    <w:rsid w:val="004905E8"/>
    <w:rsid w:val="0049068A"/>
    <w:rsid w:val="004906D1"/>
    <w:rsid w:val="004906F3"/>
    <w:rsid w:val="004908DD"/>
    <w:rsid w:val="0049090A"/>
    <w:rsid w:val="0049092C"/>
    <w:rsid w:val="00490B91"/>
    <w:rsid w:val="00490DE2"/>
    <w:rsid w:val="00490DF9"/>
    <w:rsid w:val="00490FED"/>
    <w:rsid w:val="00491A56"/>
    <w:rsid w:val="00491FCE"/>
    <w:rsid w:val="0049253A"/>
    <w:rsid w:val="0049256E"/>
    <w:rsid w:val="004926A9"/>
    <w:rsid w:val="004928FF"/>
    <w:rsid w:val="004929A4"/>
    <w:rsid w:val="00492A80"/>
    <w:rsid w:val="00492D95"/>
    <w:rsid w:val="00492DA3"/>
    <w:rsid w:val="00492EF2"/>
    <w:rsid w:val="00493682"/>
    <w:rsid w:val="00493B85"/>
    <w:rsid w:val="00493C42"/>
    <w:rsid w:val="00493D51"/>
    <w:rsid w:val="00493DE9"/>
    <w:rsid w:val="00493F75"/>
    <w:rsid w:val="0049407E"/>
    <w:rsid w:val="004940F0"/>
    <w:rsid w:val="00494155"/>
    <w:rsid w:val="00494602"/>
    <w:rsid w:val="00494731"/>
    <w:rsid w:val="00494862"/>
    <w:rsid w:val="00494EC7"/>
    <w:rsid w:val="004951D4"/>
    <w:rsid w:val="00495352"/>
    <w:rsid w:val="004957C4"/>
    <w:rsid w:val="00495928"/>
    <w:rsid w:val="00495B58"/>
    <w:rsid w:val="00495F26"/>
    <w:rsid w:val="00495FAA"/>
    <w:rsid w:val="004960D6"/>
    <w:rsid w:val="004961C9"/>
    <w:rsid w:val="00496224"/>
    <w:rsid w:val="00496261"/>
    <w:rsid w:val="00496CF0"/>
    <w:rsid w:val="00496D69"/>
    <w:rsid w:val="00496EA4"/>
    <w:rsid w:val="004971DC"/>
    <w:rsid w:val="00497BE1"/>
    <w:rsid w:val="00497C63"/>
    <w:rsid w:val="00497C8F"/>
    <w:rsid w:val="004A01A3"/>
    <w:rsid w:val="004A01DF"/>
    <w:rsid w:val="004A02CF"/>
    <w:rsid w:val="004A04DF"/>
    <w:rsid w:val="004A07D2"/>
    <w:rsid w:val="004A0C9F"/>
    <w:rsid w:val="004A0D0D"/>
    <w:rsid w:val="004A1047"/>
    <w:rsid w:val="004A1053"/>
    <w:rsid w:val="004A11F5"/>
    <w:rsid w:val="004A1285"/>
    <w:rsid w:val="004A176F"/>
    <w:rsid w:val="004A1B72"/>
    <w:rsid w:val="004A1C0E"/>
    <w:rsid w:val="004A1F1A"/>
    <w:rsid w:val="004A20F4"/>
    <w:rsid w:val="004A22C5"/>
    <w:rsid w:val="004A2673"/>
    <w:rsid w:val="004A2719"/>
    <w:rsid w:val="004A29EE"/>
    <w:rsid w:val="004A2AC9"/>
    <w:rsid w:val="004A2D35"/>
    <w:rsid w:val="004A2F82"/>
    <w:rsid w:val="004A2FC6"/>
    <w:rsid w:val="004A300E"/>
    <w:rsid w:val="004A31FD"/>
    <w:rsid w:val="004A32C6"/>
    <w:rsid w:val="004A33D2"/>
    <w:rsid w:val="004A33EE"/>
    <w:rsid w:val="004A3520"/>
    <w:rsid w:val="004A3ADB"/>
    <w:rsid w:val="004A4250"/>
    <w:rsid w:val="004A4635"/>
    <w:rsid w:val="004A4869"/>
    <w:rsid w:val="004A494B"/>
    <w:rsid w:val="004A4A02"/>
    <w:rsid w:val="004A4AA0"/>
    <w:rsid w:val="004A4DAE"/>
    <w:rsid w:val="004A4E06"/>
    <w:rsid w:val="004A4E5F"/>
    <w:rsid w:val="004A4FF9"/>
    <w:rsid w:val="004A5204"/>
    <w:rsid w:val="004A576F"/>
    <w:rsid w:val="004A59B1"/>
    <w:rsid w:val="004A5B4B"/>
    <w:rsid w:val="004A5C81"/>
    <w:rsid w:val="004A5F02"/>
    <w:rsid w:val="004A6027"/>
    <w:rsid w:val="004A6373"/>
    <w:rsid w:val="004A65FD"/>
    <w:rsid w:val="004A6AB4"/>
    <w:rsid w:val="004A6F09"/>
    <w:rsid w:val="004A7A72"/>
    <w:rsid w:val="004A7A93"/>
    <w:rsid w:val="004A7F35"/>
    <w:rsid w:val="004B00DC"/>
    <w:rsid w:val="004B0267"/>
    <w:rsid w:val="004B0606"/>
    <w:rsid w:val="004B0B32"/>
    <w:rsid w:val="004B0B81"/>
    <w:rsid w:val="004B0C23"/>
    <w:rsid w:val="004B0EDC"/>
    <w:rsid w:val="004B1076"/>
    <w:rsid w:val="004B1426"/>
    <w:rsid w:val="004B170C"/>
    <w:rsid w:val="004B1796"/>
    <w:rsid w:val="004B1D83"/>
    <w:rsid w:val="004B213E"/>
    <w:rsid w:val="004B2353"/>
    <w:rsid w:val="004B2357"/>
    <w:rsid w:val="004B24BF"/>
    <w:rsid w:val="004B268B"/>
    <w:rsid w:val="004B2697"/>
    <w:rsid w:val="004B2803"/>
    <w:rsid w:val="004B2D26"/>
    <w:rsid w:val="004B3184"/>
    <w:rsid w:val="004B3392"/>
    <w:rsid w:val="004B3470"/>
    <w:rsid w:val="004B382C"/>
    <w:rsid w:val="004B3B5C"/>
    <w:rsid w:val="004B3DB5"/>
    <w:rsid w:val="004B48C3"/>
    <w:rsid w:val="004B4DBB"/>
    <w:rsid w:val="004B515E"/>
    <w:rsid w:val="004B527B"/>
    <w:rsid w:val="004B531F"/>
    <w:rsid w:val="004B590F"/>
    <w:rsid w:val="004B594F"/>
    <w:rsid w:val="004B5A15"/>
    <w:rsid w:val="004B5FF6"/>
    <w:rsid w:val="004B61AA"/>
    <w:rsid w:val="004B641E"/>
    <w:rsid w:val="004B647F"/>
    <w:rsid w:val="004B69C0"/>
    <w:rsid w:val="004B69DD"/>
    <w:rsid w:val="004B6D65"/>
    <w:rsid w:val="004B6E55"/>
    <w:rsid w:val="004B6F85"/>
    <w:rsid w:val="004B7103"/>
    <w:rsid w:val="004B744E"/>
    <w:rsid w:val="004B760B"/>
    <w:rsid w:val="004B770E"/>
    <w:rsid w:val="004C057E"/>
    <w:rsid w:val="004C0AA2"/>
    <w:rsid w:val="004C0E8F"/>
    <w:rsid w:val="004C114B"/>
    <w:rsid w:val="004C1286"/>
    <w:rsid w:val="004C1774"/>
    <w:rsid w:val="004C1BD6"/>
    <w:rsid w:val="004C1F81"/>
    <w:rsid w:val="004C20A2"/>
    <w:rsid w:val="004C2142"/>
    <w:rsid w:val="004C272A"/>
    <w:rsid w:val="004C2752"/>
    <w:rsid w:val="004C2C13"/>
    <w:rsid w:val="004C313F"/>
    <w:rsid w:val="004C342C"/>
    <w:rsid w:val="004C3657"/>
    <w:rsid w:val="004C373B"/>
    <w:rsid w:val="004C4071"/>
    <w:rsid w:val="004C4373"/>
    <w:rsid w:val="004C49BF"/>
    <w:rsid w:val="004C4B46"/>
    <w:rsid w:val="004C4C67"/>
    <w:rsid w:val="004C4D58"/>
    <w:rsid w:val="004C517A"/>
    <w:rsid w:val="004C52D8"/>
    <w:rsid w:val="004C53F3"/>
    <w:rsid w:val="004C541F"/>
    <w:rsid w:val="004C572B"/>
    <w:rsid w:val="004C585F"/>
    <w:rsid w:val="004C5A23"/>
    <w:rsid w:val="004C5F69"/>
    <w:rsid w:val="004C61F9"/>
    <w:rsid w:val="004C6230"/>
    <w:rsid w:val="004C664A"/>
    <w:rsid w:val="004C6672"/>
    <w:rsid w:val="004C66A2"/>
    <w:rsid w:val="004C68C8"/>
    <w:rsid w:val="004C6909"/>
    <w:rsid w:val="004C7055"/>
    <w:rsid w:val="004C7098"/>
    <w:rsid w:val="004C717F"/>
    <w:rsid w:val="004C73E6"/>
    <w:rsid w:val="004C748F"/>
    <w:rsid w:val="004C7E3D"/>
    <w:rsid w:val="004C7F3D"/>
    <w:rsid w:val="004D0393"/>
    <w:rsid w:val="004D04AF"/>
    <w:rsid w:val="004D04EB"/>
    <w:rsid w:val="004D07D7"/>
    <w:rsid w:val="004D0980"/>
    <w:rsid w:val="004D0F66"/>
    <w:rsid w:val="004D1309"/>
    <w:rsid w:val="004D15E7"/>
    <w:rsid w:val="004D1A7E"/>
    <w:rsid w:val="004D1C33"/>
    <w:rsid w:val="004D1DFC"/>
    <w:rsid w:val="004D1FD7"/>
    <w:rsid w:val="004D200A"/>
    <w:rsid w:val="004D2614"/>
    <w:rsid w:val="004D2644"/>
    <w:rsid w:val="004D2B42"/>
    <w:rsid w:val="004D2EE8"/>
    <w:rsid w:val="004D2F80"/>
    <w:rsid w:val="004D30C9"/>
    <w:rsid w:val="004D399A"/>
    <w:rsid w:val="004D3CAA"/>
    <w:rsid w:val="004D3FA5"/>
    <w:rsid w:val="004D41C0"/>
    <w:rsid w:val="004D43AA"/>
    <w:rsid w:val="004D48D1"/>
    <w:rsid w:val="004D4FBF"/>
    <w:rsid w:val="004D529A"/>
    <w:rsid w:val="004D546A"/>
    <w:rsid w:val="004D563F"/>
    <w:rsid w:val="004D56C8"/>
    <w:rsid w:val="004D5A81"/>
    <w:rsid w:val="004D5BD5"/>
    <w:rsid w:val="004D5CD3"/>
    <w:rsid w:val="004D60C9"/>
    <w:rsid w:val="004D6361"/>
    <w:rsid w:val="004D6539"/>
    <w:rsid w:val="004D6624"/>
    <w:rsid w:val="004D67C7"/>
    <w:rsid w:val="004D67D8"/>
    <w:rsid w:val="004D6B79"/>
    <w:rsid w:val="004D6C9E"/>
    <w:rsid w:val="004D6FF2"/>
    <w:rsid w:val="004D71EB"/>
    <w:rsid w:val="004D73CB"/>
    <w:rsid w:val="004D7459"/>
    <w:rsid w:val="004D761F"/>
    <w:rsid w:val="004D77B8"/>
    <w:rsid w:val="004D7856"/>
    <w:rsid w:val="004D79FF"/>
    <w:rsid w:val="004D7F6D"/>
    <w:rsid w:val="004E0803"/>
    <w:rsid w:val="004E08A3"/>
    <w:rsid w:val="004E095E"/>
    <w:rsid w:val="004E0A9F"/>
    <w:rsid w:val="004E0DE3"/>
    <w:rsid w:val="004E0FEF"/>
    <w:rsid w:val="004E1131"/>
    <w:rsid w:val="004E16CC"/>
    <w:rsid w:val="004E18D9"/>
    <w:rsid w:val="004E1DBA"/>
    <w:rsid w:val="004E2129"/>
    <w:rsid w:val="004E23B5"/>
    <w:rsid w:val="004E26AD"/>
    <w:rsid w:val="004E2C1C"/>
    <w:rsid w:val="004E2F2A"/>
    <w:rsid w:val="004E31AC"/>
    <w:rsid w:val="004E36C8"/>
    <w:rsid w:val="004E37BA"/>
    <w:rsid w:val="004E37CA"/>
    <w:rsid w:val="004E3A07"/>
    <w:rsid w:val="004E3ED6"/>
    <w:rsid w:val="004E4047"/>
    <w:rsid w:val="004E40FA"/>
    <w:rsid w:val="004E4A60"/>
    <w:rsid w:val="004E4AA6"/>
    <w:rsid w:val="004E4D95"/>
    <w:rsid w:val="004E51EC"/>
    <w:rsid w:val="004E5283"/>
    <w:rsid w:val="004E5A37"/>
    <w:rsid w:val="004E6209"/>
    <w:rsid w:val="004E677B"/>
    <w:rsid w:val="004E67E3"/>
    <w:rsid w:val="004E6814"/>
    <w:rsid w:val="004E682B"/>
    <w:rsid w:val="004E698B"/>
    <w:rsid w:val="004E6BB9"/>
    <w:rsid w:val="004E6D9E"/>
    <w:rsid w:val="004E6F94"/>
    <w:rsid w:val="004E7451"/>
    <w:rsid w:val="004E7865"/>
    <w:rsid w:val="004E7B96"/>
    <w:rsid w:val="004E7CC3"/>
    <w:rsid w:val="004F01C1"/>
    <w:rsid w:val="004F028D"/>
    <w:rsid w:val="004F041C"/>
    <w:rsid w:val="004F043F"/>
    <w:rsid w:val="004F0461"/>
    <w:rsid w:val="004F0855"/>
    <w:rsid w:val="004F0A35"/>
    <w:rsid w:val="004F0AB7"/>
    <w:rsid w:val="004F1273"/>
    <w:rsid w:val="004F15CE"/>
    <w:rsid w:val="004F166E"/>
    <w:rsid w:val="004F167E"/>
    <w:rsid w:val="004F1CBF"/>
    <w:rsid w:val="004F2607"/>
    <w:rsid w:val="004F26ED"/>
    <w:rsid w:val="004F27F6"/>
    <w:rsid w:val="004F2807"/>
    <w:rsid w:val="004F288B"/>
    <w:rsid w:val="004F2A4E"/>
    <w:rsid w:val="004F2A99"/>
    <w:rsid w:val="004F2B59"/>
    <w:rsid w:val="004F2D61"/>
    <w:rsid w:val="004F3480"/>
    <w:rsid w:val="004F34F0"/>
    <w:rsid w:val="004F350F"/>
    <w:rsid w:val="004F3AA3"/>
    <w:rsid w:val="004F3AB4"/>
    <w:rsid w:val="004F3CED"/>
    <w:rsid w:val="004F3D33"/>
    <w:rsid w:val="004F3FAB"/>
    <w:rsid w:val="004F40E6"/>
    <w:rsid w:val="004F42E1"/>
    <w:rsid w:val="004F4487"/>
    <w:rsid w:val="004F4BA3"/>
    <w:rsid w:val="004F4E54"/>
    <w:rsid w:val="004F4EAB"/>
    <w:rsid w:val="004F4FAB"/>
    <w:rsid w:val="004F5CD5"/>
    <w:rsid w:val="004F6187"/>
    <w:rsid w:val="004F6595"/>
    <w:rsid w:val="004F65A4"/>
    <w:rsid w:val="004F67E7"/>
    <w:rsid w:val="004F68A1"/>
    <w:rsid w:val="004F6A10"/>
    <w:rsid w:val="004F6AD1"/>
    <w:rsid w:val="004F6B11"/>
    <w:rsid w:val="004F6B40"/>
    <w:rsid w:val="004F6C7D"/>
    <w:rsid w:val="004F703D"/>
    <w:rsid w:val="004F7A85"/>
    <w:rsid w:val="004F7AF6"/>
    <w:rsid w:val="004F7E3C"/>
    <w:rsid w:val="00500173"/>
    <w:rsid w:val="0050022D"/>
    <w:rsid w:val="005003C4"/>
    <w:rsid w:val="00501083"/>
    <w:rsid w:val="005017A7"/>
    <w:rsid w:val="005018C2"/>
    <w:rsid w:val="00501A9D"/>
    <w:rsid w:val="00501B36"/>
    <w:rsid w:val="00502009"/>
    <w:rsid w:val="005021FA"/>
    <w:rsid w:val="005026AC"/>
    <w:rsid w:val="005026EB"/>
    <w:rsid w:val="0050282B"/>
    <w:rsid w:val="005028A6"/>
    <w:rsid w:val="00502DF9"/>
    <w:rsid w:val="00503029"/>
    <w:rsid w:val="00503726"/>
    <w:rsid w:val="00503852"/>
    <w:rsid w:val="00503B40"/>
    <w:rsid w:val="00503C0C"/>
    <w:rsid w:val="00503E02"/>
    <w:rsid w:val="005042F4"/>
    <w:rsid w:val="0050435C"/>
    <w:rsid w:val="0050454A"/>
    <w:rsid w:val="0050477A"/>
    <w:rsid w:val="005048A9"/>
    <w:rsid w:val="00504B9F"/>
    <w:rsid w:val="00504BA6"/>
    <w:rsid w:val="0050520A"/>
    <w:rsid w:val="0050533D"/>
    <w:rsid w:val="0050535C"/>
    <w:rsid w:val="005054AF"/>
    <w:rsid w:val="005055A0"/>
    <w:rsid w:val="005059A7"/>
    <w:rsid w:val="00505BC0"/>
    <w:rsid w:val="00505DA8"/>
    <w:rsid w:val="0050613C"/>
    <w:rsid w:val="00506562"/>
    <w:rsid w:val="00506A90"/>
    <w:rsid w:val="00506AAC"/>
    <w:rsid w:val="00506CFB"/>
    <w:rsid w:val="0050736F"/>
    <w:rsid w:val="00507606"/>
    <w:rsid w:val="005077EA"/>
    <w:rsid w:val="0050787E"/>
    <w:rsid w:val="00507982"/>
    <w:rsid w:val="00507ADC"/>
    <w:rsid w:val="00507B61"/>
    <w:rsid w:val="005100FA"/>
    <w:rsid w:val="00510390"/>
    <w:rsid w:val="00510CBF"/>
    <w:rsid w:val="00510D98"/>
    <w:rsid w:val="00510F4D"/>
    <w:rsid w:val="00510FBC"/>
    <w:rsid w:val="00511045"/>
    <w:rsid w:val="005110A9"/>
    <w:rsid w:val="005110E8"/>
    <w:rsid w:val="0051174B"/>
    <w:rsid w:val="00511AC2"/>
    <w:rsid w:val="00511E91"/>
    <w:rsid w:val="0051205F"/>
    <w:rsid w:val="0051226D"/>
    <w:rsid w:val="00512AB6"/>
    <w:rsid w:val="00512B2B"/>
    <w:rsid w:val="00512E61"/>
    <w:rsid w:val="00512FF7"/>
    <w:rsid w:val="0051312F"/>
    <w:rsid w:val="0051314D"/>
    <w:rsid w:val="005134FA"/>
    <w:rsid w:val="005137D1"/>
    <w:rsid w:val="0051390F"/>
    <w:rsid w:val="0051494D"/>
    <w:rsid w:val="00514F9A"/>
    <w:rsid w:val="0051545F"/>
    <w:rsid w:val="005156BB"/>
    <w:rsid w:val="00515900"/>
    <w:rsid w:val="00515BA3"/>
    <w:rsid w:val="00515C33"/>
    <w:rsid w:val="00515CFB"/>
    <w:rsid w:val="00515EA3"/>
    <w:rsid w:val="00516277"/>
    <w:rsid w:val="00516375"/>
    <w:rsid w:val="005165DE"/>
    <w:rsid w:val="00516932"/>
    <w:rsid w:val="00516B42"/>
    <w:rsid w:val="00516C55"/>
    <w:rsid w:val="00516FB5"/>
    <w:rsid w:val="00517191"/>
    <w:rsid w:val="005171DB"/>
    <w:rsid w:val="0051722E"/>
    <w:rsid w:val="0051743D"/>
    <w:rsid w:val="0051744A"/>
    <w:rsid w:val="005174FA"/>
    <w:rsid w:val="005175BA"/>
    <w:rsid w:val="0051769E"/>
    <w:rsid w:val="00517A0A"/>
    <w:rsid w:val="00517D8C"/>
    <w:rsid w:val="005203FE"/>
    <w:rsid w:val="00520661"/>
    <w:rsid w:val="00520807"/>
    <w:rsid w:val="005218AB"/>
    <w:rsid w:val="00521A1A"/>
    <w:rsid w:val="00521B01"/>
    <w:rsid w:val="00521D38"/>
    <w:rsid w:val="00521F4B"/>
    <w:rsid w:val="0052215B"/>
    <w:rsid w:val="0052219D"/>
    <w:rsid w:val="005221EC"/>
    <w:rsid w:val="0052283E"/>
    <w:rsid w:val="005229AD"/>
    <w:rsid w:val="00522AD1"/>
    <w:rsid w:val="0052329A"/>
    <w:rsid w:val="005232E6"/>
    <w:rsid w:val="0052331B"/>
    <w:rsid w:val="005233FC"/>
    <w:rsid w:val="00523679"/>
    <w:rsid w:val="0052393C"/>
    <w:rsid w:val="00523C00"/>
    <w:rsid w:val="00523D9C"/>
    <w:rsid w:val="00524160"/>
    <w:rsid w:val="005241F6"/>
    <w:rsid w:val="005242DB"/>
    <w:rsid w:val="00524420"/>
    <w:rsid w:val="00524888"/>
    <w:rsid w:val="00524A9E"/>
    <w:rsid w:val="0052526B"/>
    <w:rsid w:val="005257EE"/>
    <w:rsid w:val="00525C1D"/>
    <w:rsid w:val="00525CE8"/>
    <w:rsid w:val="00525E7F"/>
    <w:rsid w:val="005260FE"/>
    <w:rsid w:val="005267BC"/>
    <w:rsid w:val="0052690F"/>
    <w:rsid w:val="005269C4"/>
    <w:rsid w:val="00526B5A"/>
    <w:rsid w:val="00526D2F"/>
    <w:rsid w:val="005270CE"/>
    <w:rsid w:val="005271D9"/>
    <w:rsid w:val="00527288"/>
    <w:rsid w:val="005273C4"/>
    <w:rsid w:val="00527847"/>
    <w:rsid w:val="00527B3F"/>
    <w:rsid w:val="00527B48"/>
    <w:rsid w:val="00527CA0"/>
    <w:rsid w:val="00527D16"/>
    <w:rsid w:val="00527D1B"/>
    <w:rsid w:val="00527E3D"/>
    <w:rsid w:val="00527E4F"/>
    <w:rsid w:val="00527E89"/>
    <w:rsid w:val="00530029"/>
    <w:rsid w:val="005302E5"/>
    <w:rsid w:val="0053053E"/>
    <w:rsid w:val="00530FB3"/>
    <w:rsid w:val="00530FF8"/>
    <w:rsid w:val="005312CA"/>
    <w:rsid w:val="005312DC"/>
    <w:rsid w:val="00531470"/>
    <w:rsid w:val="0053187A"/>
    <w:rsid w:val="0053188B"/>
    <w:rsid w:val="00531A1A"/>
    <w:rsid w:val="00531DD5"/>
    <w:rsid w:val="00531FC6"/>
    <w:rsid w:val="00532071"/>
    <w:rsid w:val="0053275D"/>
    <w:rsid w:val="005331DC"/>
    <w:rsid w:val="005333EF"/>
    <w:rsid w:val="00533B48"/>
    <w:rsid w:val="005341F7"/>
    <w:rsid w:val="005342DA"/>
    <w:rsid w:val="0053432F"/>
    <w:rsid w:val="005344AC"/>
    <w:rsid w:val="00534684"/>
    <w:rsid w:val="005347DE"/>
    <w:rsid w:val="00534884"/>
    <w:rsid w:val="005348A3"/>
    <w:rsid w:val="00534D09"/>
    <w:rsid w:val="005356E3"/>
    <w:rsid w:val="005357BD"/>
    <w:rsid w:val="005357EC"/>
    <w:rsid w:val="00535BE4"/>
    <w:rsid w:val="00535D9A"/>
    <w:rsid w:val="00535E5C"/>
    <w:rsid w:val="005361EE"/>
    <w:rsid w:val="005361F0"/>
    <w:rsid w:val="0053623C"/>
    <w:rsid w:val="00536278"/>
    <w:rsid w:val="0053632A"/>
    <w:rsid w:val="00536D18"/>
    <w:rsid w:val="00536D7E"/>
    <w:rsid w:val="00536EFA"/>
    <w:rsid w:val="005370EC"/>
    <w:rsid w:val="0053726C"/>
    <w:rsid w:val="0053726E"/>
    <w:rsid w:val="00537327"/>
    <w:rsid w:val="00537735"/>
    <w:rsid w:val="00537852"/>
    <w:rsid w:val="00537A44"/>
    <w:rsid w:val="00537B26"/>
    <w:rsid w:val="00537EAE"/>
    <w:rsid w:val="00537F49"/>
    <w:rsid w:val="00540014"/>
    <w:rsid w:val="00540035"/>
    <w:rsid w:val="005401E4"/>
    <w:rsid w:val="005405B1"/>
    <w:rsid w:val="00540719"/>
    <w:rsid w:val="00540901"/>
    <w:rsid w:val="00540965"/>
    <w:rsid w:val="005409DD"/>
    <w:rsid w:val="00540B9A"/>
    <w:rsid w:val="00540C37"/>
    <w:rsid w:val="00541286"/>
    <w:rsid w:val="005417C9"/>
    <w:rsid w:val="005417DA"/>
    <w:rsid w:val="00541C07"/>
    <w:rsid w:val="00541EA9"/>
    <w:rsid w:val="0054224C"/>
    <w:rsid w:val="00542824"/>
    <w:rsid w:val="00542C10"/>
    <w:rsid w:val="0054300D"/>
    <w:rsid w:val="00543046"/>
    <w:rsid w:val="005439BB"/>
    <w:rsid w:val="00543A11"/>
    <w:rsid w:val="00543D7D"/>
    <w:rsid w:val="00543EA1"/>
    <w:rsid w:val="00543F55"/>
    <w:rsid w:val="00544261"/>
    <w:rsid w:val="00544418"/>
    <w:rsid w:val="0054478E"/>
    <w:rsid w:val="005447F7"/>
    <w:rsid w:val="00544A89"/>
    <w:rsid w:val="00544B2A"/>
    <w:rsid w:val="00544C73"/>
    <w:rsid w:val="00544E4F"/>
    <w:rsid w:val="00544EED"/>
    <w:rsid w:val="005454A1"/>
    <w:rsid w:val="005457A9"/>
    <w:rsid w:val="005457AB"/>
    <w:rsid w:val="0054590F"/>
    <w:rsid w:val="00545AF2"/>
    <w:rsid w:val="00545B70"/>
    <w:rsid w:val="005469B3"/>
    <w:rsid w:val="00547AC4"/>
    <w:rsid w:val="00547C07"/>
    <w:rsid w:val="00547ECC"/>
    <w:rsid w:val="00547EDB"/>
    <w:rsid w:val="0054F7D1"/>
    <w:rsid w:val="005510E1"/>
    <w:rsid w:val="00551565"/>
    <w:rsid w:val="005518D4"/>
    <w:rsid w:val="00551959"/>
    <w:rsid w:val="00551A40"/>
    <w:rsid w:val="00551F24"/>
    <w:rsid w:val="005520EF"/>
    <w:rsid w:val="005525C2"/>
    <w:rsid w:val="005526A4"/>
    <w:rsid w:val="00552B09"/>
    <w:rsid w:val="00552CD1"/>
    <w:rsid w:val="00552DC1"/>
    <w:rsid w:val="005533A1"/>
    <w:rsid w:val="005533E6"/>
    <w:rsid w:val="00553648"/>
    <w:rsid w:val="0055368E"/>
    <w:rsid w:val="00553776"/>
    <w:rsid w:val="005537E6"/>
    <w:rsid w:val="0055382B"/>
    <w:rsid w:val="005538F6"/>
    <w:rsid w:val="00553D99"/>
    <w:rsid w:val="00554277"/>
    <w:rsid w:val="005542C1"/>
    <w:rsid w:val="00554583"/>
    <w:rsid w:val="00554837"/>
    <w:rsid w:val="00554B18"/>
    <w:rsid w:val="00554DF0"/>
    <w:rsid w:val="00554E40"/>
    <w:rsid w:val="00554E63"/>
    <w:rsid w:val="005553F1"/>
    <w:rsid w:val="00555826"/>
    <w:rsid w:val="0055593E"/>
    <w:rsid w:val="00555C41"/>
    <w:rsid w:val="00555D2D"/>
    <w:rsid w:val="00555F31"/>
    <w:rsid w:val="00556133"/>
    <w:rsid w:val="00556256"/>
    <w:rsid w:val="00556460"/>
    <w:rsid w:val="005567B8"/>
    <w:rsid w:val="00556851"/>
    <w:rsid w:val="00556933"/>
    <w:rsid w:val="00556E30"/>
    <w:rsid w:val="00556F02"/>
    <w:rsid w:val="00557739"/>
    <w:rsid w:val="00557A0E"/>
    <w:rsid w:val="00557F16"/>
    <w:rsid w:val="00557F98"/>
    <w:rsid w:val="00560652"/>
    <w:rsid w:val="00560A5E"/>
    <w:rsid w:val="00560AEA"/>
    <w:rsid w:val="00560BDE"/>
    <w:rsid w:val="00560CF9"/>
    <w:rsid w:val="00560E6B"/>
    <w:rsid w:val="00560EEC"/>
    <w:rsid w:val="00560F3F"/>
    <w:rsid w:val="0056134B"/>
    <w:rsid w:val="00561887"/>
    <w:rsid w:val="00561B2C"/>
    <w:rsid w:val="00561C62"/>
    <w:rsid w:val="00561D0C"/>
    <w:rsid w:val="00562150"/>
    <w:rsid w:val="005622B0"/>
    <w:rsid w:val="005624DE"/>
    <w:rsid w:val="005625C6"/>
    <w:rsid w:val="0056260D"/>
    <w:rsid w:val="00562902"/>
    <w:rsid w:val="00562908"/>
    <w:rsid w:val="00562C23"/>
    <w:rsid w:val="005634CB"/>
    <w:rsid w:val="00563518"/>
    <w:rsid w:val="005635F3"/>
    <w:rsid w:val="005636DC"/>
    <w:rsid w:val="00563950"/>
    <w:rsid w:val="00563ED5"/>
    <w:rsid w:val="005645ED"/>
    <w:rsid w:val="005646FE"/>
    <w:rsid w:val="00564822"/>
    <w:rsid w:val="00564C1F"/>
    <w:rsid w:val="00564D78"/>
    <w:rsid w:val="00564FA5"/>
    <w:rsid w:val="00564FA8"/>
    <w:rsid w:val="00565190"/>
    <w:rsid w:val="00565431"/>
    <w:rsid w:val="005656D5"/>
    <w:rsid w:val="00565C7D"/>
    <w:rsid w:val="00565CD4"/>
    <w:rsid w:val="00565CFE"/>
    <w:rsid w:val="00565F1E"/>
    <w:rsid w:val="00566074"/>
    <w:rsid w:val="005661D2"/>
    <w:rsid w:val="00566579"/>
    <w:rsid w:val="00566789"/>
    <w:rsid w:val="005669B3"/>
    <w:rsid w:val="00566DCB"/>
    <w:rsid w:val="005670C2"/>
    <w:rsid w:val="005671A6"/>
    <w:rsid w:val="00567B6D"/>
    <w:rsid w:val="005701B9"/>
    <w:rsid w:val="0057025B"/>
    <w:rsid w:val="0057033A"/>
    <w:rsid w:val="00570586"/>
    <w:rsid w:val="00570E41"/>
    <w:rsid w:val="00571147"/>
    <w:rsid w:val="00571645"/>
    <w:rsid w:val="0057168D"/>
    <w:rsid w:val="005716A0"/>
    <w:rsid w:val="0057179E"/>
    <w:rsid w:val="00571895"/>
    <w:rsid w:val="005718A1"/>
    <w:rsid w:val="0057197F"/>
    <w:rsid w:val="00571B6A"/>
    <w:rsid w:val="00571FB6"/>
    <w:rsid w:val="00572172"/>
    <w:rsid w:val="005722DA"/>
    <w:rsid w:val="005723A7"/>
    <w:rsid w:val="0057257D"/>
    <w:rsid w:val="0057257F"/>
    <w:rsid w:val="0057292F"/>
    <w:rsid w:val="00572CB3"/>
    <w:rsid w:val="00572D92"/>
    <w:rsid w:val="00573A6D"/>
    <w:rsid w:val="00573B50"/>
    <w:rsid w:val="00573D44"/>
    <w:rsid w:val="00573DE9"/>
    <w:rsid w:val="00573FF5"/>
    <w:rsid w:val="0057417B"/>
    <w:rsid w:val="005743E8"/>
    <w:rsid w:val="0057445B"/>
    <w:rsid w:val="005744EB"/>
    <w:rsid w:val="00574AB0"/>
    <w:rsid w:val="00574C45"/>
    <w:rsid w:val="005750AD"/>
    <w:rsid w:val="005750E2"/>
    <w:rsid w:val="005757FE"/>
    <w:rsid w:val="00575CA6"/>
    <w:rsid w:val="00575CB5"/>
    <w:rsid w:val="00575E4D"/>
    <w:rsid w:val="005760D7"/>
    <w:rsid w:val="005761DB"/>
    <w:rsid w:val="0057634D"/>
    <w:rsid w:val="00576692"/>
    <w:rsid w:val="00576A2E"/>
    <w:rsid w:val="00576FC5"/>
    <w:rsid w:val="00576FDC"/>
    <w:rsid w:val="00577065"/>
    <w:rsid w:val="0057734D"/>
    <w:rsid w:val="00577387"/>
    <w:rsid w:val="00577783"/>
    <w:rsid w:val="0057797C"/>
    <w:rsid w:val="00577A5B"/>
    <w:rsid w:val="00577F15"/>
    <w:rsid w:val="005800BA"/>
    <w:rsid w:val="00580127"/>
    <w:rsid w:val="00580149"/>
    <w:rsid w:val="00580229"/>
    <w:rsid w:val="0058095B"/>
    <w:rsid w:val="005809AA"/>
    <w:rsid w:val="00580B09"/>
    <w:rsid w:val="00580BBF"/>
    <w:rsid w:val="00580EED"/>
    <w:rsid w:val="0058105A"/>
    <w:rsid w:val="00581336"/>
    <w:rsid w:val="00581558"/>
    <w:rsid w:val="0058157D"/>
    <w:rsid w:val="00581854"/>
    <w:rsid w:val="00581960"/>
    <w:rsid w:val="00581A33"/>
    <w:rsid w:val="00581AA5"/>
    <w:rsid w:val="00581CD6"/>
    <w:rsid w:val="00581D41"/>
    <w:rsid w:val="00581EA5"/>
    <w:rsid w:val="00582003"/>
    <w:rsid w:val="0058213B"/>
    <w:rsid w:val="00582220"/>
    <w:rsid w:val="00582791"/>
    <w:rsid w:val="005828A9"/>
    <w:rsid w:val="005828B3"/>
    <w:rsid w:val="00582B98"/>
    <w:rsid w:val="00582FAD"/>
    <w:rsid w:val="005831E3"/>
    <w:rsid w:val="005832D2"/>
    <w:rsid w:val="00583774"/>
    <w:rsid w:val="00583B3C"/>
    <w:rsid w:val="00583C3A"/>
    <w:rsid w:val="00583D6A"/>
    <w:rsid w:val="00584338"/>
    <w:rsid w:val="0058441A"/>
    <w:rsid w:val="005848A4"/>
    <w:rsid w:val="00584AE0"/>
    <w:rsid w:val="00584CEA"/>
    <w:rsid w:val="00584FE0"/>
    <w:rsid w:val="0058513D"/>
    <w:rsid w:val="0058517C"/>
    <w:rsid w:val="005853AF"/>
    <w:rsid w:val="005857E9"/>
    <w:rsid w:val="00585E33"/>
    <w:rsid w:val="0058647C"/>
    <w:rsid w:val="0058651A"/>
    <w:rsid w:val="005865FD"/>
    <w:rsid w:val="00586841"/>
    <w:rsid w:val="005868B7"/>
    <w:rsid w:val="005869CE"/>
    <w:rsid w:val="00586A39"/>
    <w:rsid w:val="00586E0E"/>
    <w:rsid w:val="00587029"/>
    <w:rsid w:val="005870E5"/>
    <w:rsid w:val="00587180"/>
    <w:rsid w:val="0058728B"/>
    <w:rsid w:val="00587897"/>
    <w:rsid w:val="00587E34"/>
    <w:rsid w:val="00590121"/>
    <w:rsid w:val="00590171"/>
    <w:rsid w:val="005902FD"/>
    <w:rsid w:val="00590779"/>
    <w:rsid w:val="0059087C"/>
    <w:rsid w:val="005909C8"/>
    <w:rsid w:val="00590C48"/>
    <w:rsid w:val="00590D1A"/>
    <w:rsid w:val="0059137A"/>
    <w:rsid w:val="005915A1"/>
    <w:rsid w:val="00591949"/>
    <w:rsid w:val="00591A64"/>
    <w:rsid w:val="00591C35"/>
    <w:rsid w:val="00591C93"/>
    <w:rsid w:val="00591D9C"/>
    <w:rsid w:val="00591DC1"/>
    <w:rsid w:val="00591EE9"/>
    <w:rsid w:val="005920AD"/>
    <w:rsid w:val="00592110"/>
    <w:rsid w:val="0059219E"/>
    <w:rsid w:val="005922F7"/>
    <w:rsid w:val="00592425"/>
    <w:rsid w:val="005925D0"/>
    <w:rsid w:val="00592823"/>
    <w:rsid w:val="00592844"/>
    <w:rsid w:val="005929BB"/>
    <w:rsid w:val="00592AB5"/>
    <w:rsid w:val="00592EF5"/>
    <w:rsid w:val="005936E5"/>
    <w:rsid w:val="005939C1"/>
    <w:rsid w:val="00593D2A"/>
    <w:rsid w:val="00593D33"/>
    <w:rsid w:val="00593DCB"/>
    <w:rsid w:val="00593F86"/>
    <w:rsid w:val="005942AC"/>
    <w:rsid w:val="005945C3"/>
    <w:rsid w:val="00594B2D"/>
    <w:rsid w:val="00594C88"/>
    <w:rsid w:val="00594F92"/>
    <w:rsid w:val="0059500E"/>
    <w:rsid w:val="00595217"/>
    <w:rsid w:val="00595295"/>
    <w:rsid w:val="0059566C"/>
    <w:rsid w:val="005956E3"/>
    <w:rsid w:val="00595E2E"/>
    <w:rsid w:val="00596558"/>
    <w:rsid w:val="005966FC"/>
    <w:rsid w:val="00596AF1"/>
    <w:rsid w:val="00596BA9"/>
    <w:rsid w:val="00596BBA"/>
    <w:rsid w:val="00596CEE"/>
    <w:rsid w:val="0059706A"/>
    <w:rsid w:val="005978A8"/>
    <w:rsid w:val="00597A57"/>
    <w:rsid w:val="00597B0B"/>
    <w:rsid w:val="00597B13"/>
    <w:rsid w:val="00597BE2"/>
    <w:rsid w:val="00597BF0"/>
    <w:rsid w:val="00597C71"/>
    <w:rsid w:val="005A02D7"/>
    <w:rsid w:val="005A0A27"/>
    <w:rsid w:val="005A0D68"/>
    <w:rsid w:val="005A12F1"/>
    <w:rsid w:val="005A154A"/>
    <w:rsid w:val="005A1E4B"/>
    <w:rsid w:val="005A1EEA"/>
    <w:rsid w:val="005A2313"/>
    <w:rsid w:val="005A2682"/>
    <w:rsid w:val="005A297B"/>
    <w:rsid w:val="005A2D39"/>
    <w:rsid w:val="005A2E42"/>
    <w:rsid w:val="005A2F73"/>
    <w:rsid w:val="005A3B92"/>
    <w:rsid w:val="005A3D2F"/>
    <w:rsid w:val="005A40A4"/>
    <w:rsid w:val="005A4171"/>
    <w:rsid w:val="005A43A8"/>
    <w:rsid w:val="005A44ED"/>
    <w:rsid w:val="005A4723"/>
    <w:rsid w:val="005A4A54"/>
    <w:rsid w:val="005A4AD8"/>
    <w:rsid w:val="005A4CCB"/>
    <w:rsid w:val="005A4CCF"/>
    <w:rsid w:val="005A4EA8"/>
    <w:rsid w:val="005A4F98"/>
    <w:rsid w:val="005A5227"/>
    <w:rsid w:val="005A5EAF"/>
    <w:rsid w:val="005A5FEE"/>
    <w:rsid w:val="005A647E"/>
    <w:rsid w:val="005A663C"/>
    <w:rsid w:val="005A66EE"/>
    <w:rsid w:val="005A670B"/>
    <w:rsid w:val="005A7727"/>
    <w:rsid w:val="005A7DBA"/>
    <w:rsid w:val="005A7DE3"/>
    <w:rsid w:val="005A7E6F"/>
    <w:rsid w:val="005B03BE"/>
    <w:rsid w:val="005B0669"/>
    <w:rsid w:val="005B069F"/>
    <w:rsid w:val="005B06C5"/>
    <w:rsid w:val="005B0B83"/>
    <w:rsid w:val="005B0F50"/>
    <w:rsid w:val="005B1250"/>
    <w:rsid w:val="005B125C"/>
    <w:rsid w:val="005B181D"/>
    <w:rsid w:val="005B1834"/>
    <w:rsid w:val="005B1906"/>
    <w:rsid w:val="005B20A6"/>
    <w:rsid w:val="005B2365"/>
    <w:rsid w:val="005B2465"/>
    <w:rsid w:val="005B2650"/>
    <w:rsid w:val="005B2C21"/>
    <w:rsid w:val="005B2F50"/>
    <w:rsid w:val="005B322F"/>
    <w:rsid w:val="005B334C"/>
    <w:rsid w:val="005B36E4"/>
    <w:rsid w:val="005B37D0"/>
    <w:rsid w:val="005B3EC1"/>
    <w:rsid w:val="005B3EC2"/>
    <w:rsid w:val="005B41B9"/>
    <w:rsid w:val="005B42EE"/>
    <w:rsid w:val="005B433B"/>
    <w:rsid w:val="005B4470"/>
    <w:rsid w:val="005B48E9"/>
    <w:rsid w:val="005B4E3B"/>
    <w:rsid w:val="005B4E41"/>
    <w:rsid w:val="005B5598"/>
    <w:rsid w:val="005B55BE"/>
    <w:rsid w:val="005B5856"/>
    <w:rsid w:val="005B5A12"/>
    <w:rsid w:val="005B5AFE"/>
    <w:rsid w:val="005B6133"/>
    <w:rsid w:val="005B621F"/>
    <w:rsid w:val="005B62A2"/>
    <w:rsid w:val="005B62D6"/>
    <w:rsid w:val="005B65C9"/>
    <w:rsid w:val="005B6ACB"/>
    <w:rsid w:val="005B6B1C"/>
    <w:rsid w:val="005B6C9B"/>
    <w:rsid w:val="005B6CFB"/>
    <w:rsid w:val="005B76CF"/>
    <w:rsid w:val="005B7CCC"/>
    <w:rsid w:val="005B7E88"/>
    <w:rsid w:val="005B7F7A"/>
    <w:rsid w:val="005B7FE7"/>
    <w:rsid w:val="005C001D"/>
    <w:rsid w:val="005C04E7"/>
    <w:rsid w:val="005C0994"/>
    <w:rsid w:val="005C09ED"/>
    <w:rsid w:val="005C0B2A"/>
    <w:rsid w:val="005C11E2"/>
    <w:rsid w:val="005C13E6"/>
    <w:rsid w:val="005C14ED"/>
    <w:rsid w:val="005C1840"/>
    <w:rsid w:val="005C19CB"/>
    <w:rsid w:val="005C1AC5"/>
    <w:rsid w:val="005C1E6A"/>
    <w:rsid w:val="005C20E6"/>
    <w:rsid w:val="005C21D0"/>
    <w:rsid w:val="005C2B60"/>
    <w:rsid w:val="005C2C99"/>
    <w:rsid w:val="005C2EBD"/>
    <w:rsid w:val="005C2F2F"/>
    <w:rsid w:val="005C2F9C"/>
    <w:rsid w:val="005C2FEE"/>
    <w:rsid w:val="005C3058"/>
    <w:rsid w:val="005C31F0"/>
    <w:rsid w:val="005C351E"/>
    <w:rsid w:val="005C35FF"/>
    <w:rsid w:val="005C3843"/>
    <w:rsid w:val="005C3CB9"/>
    <w:rsid w:val="005C3E1C"/>
    <w:rsid w:val="005C40F8"/>
    <w:rsid w:val="005C415A"/>
    <w:rsid w:val="005C41D8"/>
    <w:rsid w:val="005C4430"/>
    <w:rsid w:val="005C4463"/>
    <w:rsid w:val="005C451F"/>
    <w:rsid w:val="005C4B21"/>
    <w:rsid w:val="005C4B3D"/>
    <w:rsid w:val="005C4F23"/>
    <w:rsid w:val="005C4FFD"/>
    <w:rsid w:val="005C51EC"/>
    <w:rsid w:val="005C543A"/>
    <w:rsid w:val="005C56E1"/>
    <w:rsid w:val="005C5964"/>
    <w:rsid w:val="005C59FB"/>
    <w:rsid w:val="005C5BCE"/>
    <w:rsid w:val="005C5DCE"/>
    <w:rsid w:val="005C5F06"/>
    <w:rsid w:val="005C62FC"/>
    <w:rsid w:val="005C66FD"/>
    <w:rsid w:val="005C6876"/>
    <w:rsid w:val="005C68D2"/>
    <w:rsid w:val="005C6A86"/>
    <w:rsid w:val="005C6ACB"/>
    <w:rsid w:val="005C6B32"/>
    <w:rsid w:val="005C6B8B"/>
    <w:rsid w:val="005C6E6A"/>
    <w:rsid w:val="005C71DE"/>
    <w:rsid w:val="005C7285"/>
    <w:rsid w:val="005C73A2"/>
    <w:rsid w:val="005C742A"/>
    <w:rsid w:val="005C757D"/>
    <w:rsid w:val="005C7DFA"/>
    <w:rsid w:val="005C7E75"/>
    <w:rsid w:val="005C7F54"/>
    <w:rsid w:val="005D00D0"/>
    <w:rsid w:val="005D04BE"/>
    <w:rsid w:val="005D0CF2"/>
    <w:rsid w:val="005D0D02"/>
    <w:rsid w:val="005D10CA"/>
    <w:rsid w:val="005D13D0"/>
    <w:rsid w:val="005D1656"/>
    <w:rsid w:val="005D1885"/>
    <w:rsid w:val="005D18B0"/>
    <w:rsid w:val="005D18B1"/>
    <w:rsid w:val="005D1F83"/>
    <w:rsid w:val="005D249E"/>
    <w:rsid w:val="005D262B"/>
    <w:rsid w:val="005D26D6"/>
    <w:rsid w:val="005D2815"/>
    <w:rsid w:val="005D2FFB"/>
    <w:rsid w:val="005D3125"/>
    <w:rsid w:val="005D33CE"/>
    <w:rsid w:val="005D342E"/>
    <w:rsid w:val="005D3559"/>
    <w:rsid w:val="005D36FB"/>
    <w:rsid w:val="005D37E1"/>
    <w:rsid w:val="005D38DC"/>
    <w:rsid w:val="005D3CE3"/>
    <w:rsid w:val="005D3DD3"/>
    <w:rsid w:val="005D3ED7"/>
    <w:rsid w:val="005D3FDE"/>
    <w:rsid w:val="005D444A"/>
    <w:rsid w:val="005D4578"/>
    <w:rsid w:val="005D467A"/>
    <w:rsid w:val="005D4F24"/>
    <w:rsid w:val="005D5080"/>
    <w:rsid w:val="005D5780"/>
    <w:rsid w:val="005D5B6F"/>
    <w:rsid w:val="005D6377"/>
    <w:rsid w:val="005D6436"/>
    <w:rsid w:val="005D659E"/>
    <w:rsid w:val="005D68EC"/>
    <w:rsid w:val="005D6CE7"/>
    <w:rsid w:val="005D6D8A"/>
    <w:rsid w:val="005D7000"/>
    <w:rsid w:val="005D70EB"/>
    <w:rsid w:val="005D713B"/>
    <w:rsid w:val="005D716F"/>
    <w:rsid w:val="005D72F9"/>
    <w:rsid w:val="005D72FC"/>
    <w:rsid w:val="005D75C6"/>
    <w:rsid w:val="005D78C4"/>
    <w:rsid w:val="005D797A"/>
    <w:rsid w:val="005D7AB3"/>
    <w:rsid w:val="005D7BAC"/>
    <w:rsid w:val="005D7D08"/>
    <w:rsid w:val="005D7D4F"/>
    <w:rsid w:val="005D7D88"/>
    <w:rsid w:val="005E00D8"/>
    <w:rsid w:val="005E038E"/>
    <w:rsid w:val="005E06FC"/>
    <w:rsid w:val="005E0910"/>
    <w:rsid w:val="005E097B"/>
    <w:rsid w:val="005E0AB9"/>
    <w:rsid w:val="005E0C46"/>
    <w:rsid w:val="005E0CA4"/>
    <w:rsid w:val="005E0D59"/>
    <w:rsid w:val="005E13DF"/>
    <w:rsid w:val="005E16A9"/>
    <w:rsid w:val="005E16E6"/>
    <w:rsid w:val="005E17E4"/>
    <w:rsid w:val="005E1BA4"/>
    <w:rsid w:val="005E1C45"/>
    <w:rsid w:val="005E20EF"/>
    <w:rsid w:val="005E2178"/>
    <w:rsid w:val="005E26C8"/>
    <w:rsid w:val="005E2865"/>
    <w:rsid w:val="005E29CC"/>
    <w:rsid w:val="005E2A55"/>
    <w:rsid w:val="005E2CAD"/>
    <w:rsid w:val="005E30DB"/>
    <w:rsid w:val="005E35BA"/>
    <w:rsid w:val="005E36AB"/>
    <w:rsid w:val="005E386B"/>
    <w:rsid w:val="005E416B"/>
    <w:rsid w:val="005E42FD"/>
    <w:rsid w:val="005E4452"/>
    <w:rsid w:val="005E4BE3"/>
    <w:rsid w:val="005E4BEA"/>
    <w:rsid w:val="005E4C53"/>
    <w:rsid w:val="005E4F75"/>
    <w:rsid w:val="005E5010"/>
    <w:rsid w:val="005E50A7"/>
    <w:rsid w:val="005E51D1"/>
    <w:rsid w:val="005E5466"/>
    <w:rsid w:val="005E54BD"/>
    <w:rsid w:val="005E56BD"/>
    <w:rsid w:val="005E57B3"/>
    <w:rsid w:val="005E59A7"/>
    <w:rsid w:val="005E5B41"/>
    <w:rsid w:val="005E5F0C"/>
    <w:rsid w:val="005E649A"/>
    <w:rsid w:val="005E64C4"/>
    <w:rsid w:val="005E65A6"/>
    <w:rsid w:val="005E6D16"/>
    <w:rsid w:val="005E6EE0"/>
    <w:rsid w:val="005E7003"/>
    <w:rsid w:val="005E721E"/>
    <w:rsid w:val="005E72FE"/>
    <w:rsid w:val="005E73C1"/>
    <w:rsid w:val="005E757D"/>
    <w:rsid w:val="005E77F7"/>
    <w:rsid w:val="005E78C1"/>
    <w:rsid w:val="005E7995"/>
    <w:rsid w:val="005E7AF8"/>
    <w:rsid w:val="005E7BCB"/>
    <w:rsid w:val="005E7EB2"/>
    <w:rsid w:val="005F05C2"/>
    <w:rsid w:val="005F0643"/>
    <w:rsid w:val="005F0A8D"/>
    <w:rsid w:val="005F0B3D"/>
    <w:rsid w:val="005F0B4D"/>
    <w:rsid w:val="005F0C7C"/>
    <w:rsid w:val="005F0F94"/>
    <w:rsid w:val="005F1042"/>
    <w:rsid w:val="005F1132"/>
    <w:rsid w:val="005F15BF"/>
    <w:rsid w:val="005F15F8"/>
    <w:rsid w:val="005F16E1"/>
    <w:rsid w:val="005F1745"/>
    <w:rsid w:val="005F18B2"/>
    <w:rsid w:val="005F1AED"/>
    <w:rsid w:val="005F1B41"/>
    <w:rsid w:val="005F1D54"/>
    <w:rsid w:val="005F1F91"/>
    <w:rsid w:val="005F2050"/>
    <w:rsid w:val="005F20DB"/>
    <w:rsid w:val="005F2331"/>
    <w:rsid w:val="005F2567"/>
    <w:rsid w:val="005F2862"/>
    <w:rsid w:val="005F2A91"/>
    <w:rsid w:val="005F2BC6"/>
    <w:rsid w:val="005F30E7"/>
    <w:rsid w:val="005F3374"/>
    <w:rsid w:val="005F341C"/>
    <w:rsid w:val="005F3A8F"/>
    <w:rsid w:val="005F3A97"/>
    <w:rsid w:val="005F3AF6"/>
    <w:rsid w:val="005F3CA9"/>
    <w:rsid w:val="005F3E59"/>
    <w:rsid w:val="005F405E"/>
    <w:rsid w:val="005F40DD"/>
    <w:rsid w:val="005F43D6"/>
    <w:rsid w:val="005F4A1E"/>
    <w:rsid w:val="005F4A99"/>
    <w:rsid w:val="005F4D72"/>
    <w:rsid w:val="005F4F41"/>
    <w:rsid w:val="005F4FC0"/>
    <w:rsid w:val="005F5176"/>
    <w:rsid w:val="005F5259"/>
    <w:rsid w:val="005F54C4"/>
    <w:rsid w:val="005F55A7"/>
    <w:rsid w:val="005F55F7"/>
    <w:rsid w:val="005F5835"/>
    <w:rsid w:val="005F58F0"/>
    <w:rsid w:val="005F5AEC"/>
    <w:rsid w:val="005F5D09"/>
    <w:rsid w:val="005F5E83"/>
    <w:rsid w:val="005F66F1"/>
    <w:rsid w:val="005F682D"/>
    <w:rsid w:val="005F6B3F"/>
    <w:rsid w:val="005F6C85"/>
    <w:rsid w:val="005F70FD"/>
    <w:rsid w:val="005F77C5"/>
    <w:rsid w:val="005F77EB"/>
    <w:rsid w:val="005F7CBE"/>
    <w:rsid w:val="00600002"/>
    <w:rsid w:val="00600221"/>
    <w:rsid w:val="00600433"/>
    <w:rsid w:val="00600787"/>
    <w:rsid w:val="006007CF"/>
    <w:rsid w:val="0060086F"/>
    <w:rsid w:val="0060098C"/>
    <w:rsid w:val="00600A04"/>
    <w:rsid w:val="00600BAD"/>
    <w:rsid w:val="00600CCB"/>
    <w:rsid w:val="006012A9"/>
    <w:rsid w:val="0060133C"/>
    <w:rsid w:val="00601822"/>
    <w:rsid w:val="00601A03"/>
    <w:rsid w:val="00601B7A"/>
    <w:rsid w:val="00601C5E"/>
    <w:rsid w:val="00601C85"/>
    <w:rsid w:val="00602514"/>
    <w:rsid w:val="00602521"/>
    <w:rsid w:val="006025D3"/>
    <w:rsid w:val="00602769"/>
    <w:rsid w:val="006027F1"/>
    <w:rsid w:val="00602B8E"/>
    <w:rsid w:val="00603095"/>
    <w:rsid w:val="0060320E"/>
    <w:rsid w:val="00603223"/>
    <w:rsid w:val="006038DB"/>
    <w:rsid w:val="00603913"/>
    <w:rsid w:val="00603980"/>
    <w:rsid w:val="006039BB"/>
    <w:rsid w:val="00603A0B"/>
    <w:rsid w:val="00603AE5"/>
    <w:rsid w:val="00603C06"/>
    <w:rsid w:val="00603C9B"/>
    <w:rsid w:val="00603D5B"/>
    <w:rsid w:val="00603F81"/>
    <w:rsid w:val="00604186"/>
    <w:rsid w:val="00604660"/>
    <w:rsid w:val="00604737"/>
    <w:rsid w:val="00604C22"/>
    <w:rsid w:val="00604C28"/>
    <w:rsid w:val="00604D5F"/>
    <w:rsid w:val="006050F9"/>
    <w:rsid w:val="00605362"/>
    <w:rsid w:val="00605926"/>
    <w:rsid w:val="0060597A"/>
    <w:rsid w:val="006059FE"/>
    <w:rsid w:val="00605B2D"/>
    <w:rsid w:val="00605C09"/>
    <w:rsid w:val="00605E57"/>
    <w:rsid w:val="00606444"/>
    <w:rsid w:val="00606733"/>
    <w:rsid w:val="006067BA"/>
    <w:rsid w:val="0060692B"/>
    <w:rsid w:val="00606A12"/>
    <w:rsid w:val="00606C11"/>
    <w:rsid w:val="006071D5"/>
    <w:rsid w:val="00607368"/>
    <w:rsid w:val="00607385"/>
    <w:rsid w:val="00607F43"/>
    <w:rsid w:val="006105EA"/>
    <w:rsid w:val="00610A38"/>
    <w:rsid w:val="00611011"/>
    <w:rsid w:val="00611196"/>
    <w:rsid w:val="0061127A"/>
    <w:rsid w:val="00611498"/>
    <w:rsid w:val="006115E5"/>
    <w:rsid w:val="0061167D"/>
    <w:rsid w:val="00611D43"/>
    <w:rsid w:val="006122E6"/>
    <w:rsid w:val="00612308"/>
    <w:rsid w:val="00612620"/>
    <w:rsid w:val="00612789"/>
    <w:rsid w:val="00612B41"/>
    <w:rsid w:val="006138C0"/>
    <w:rsid w:val="00613C0A"/>
    <w:rsid w:val="00613D83"/>
    <w:rsid w:val="00613EF1"/>
    <w:rsid w:val="00613F86"/>
    <w:rsid w:val="0061459D"/>
    <w:rsid w:val="006147D6"/>
    <w:rsid w:val="00614821"/>
    <w:rsid w:val="00614989"/>
    <w:rsid w:val="00614DD9"/>
    <w:rsid w:val="00614FC2"/>
    <w:rsid w:val="00614FE4"/>
    <w:rsid w:val="006150B1"/>
    <w:rsid w:val="00615383"/>
    <w:rsid w:val="00615961"/>
    <w:rsid w:val="00615A4F"/>
    <w:rsid w:val="00615ADA"/>
    <w:rsid w:val="00615C36"/>
    <w:rsid w:val="00616063"/>
    <w:rsid w:val="006166CE"/>
    <w:rsid w:val="0061679F"/>
    <w:rsid w:val="00616B80"/>
    <w:rsid w:val="00616C2A"/>
    <w:rsid w:val="00616D76"/>
    <w:rsid w:val="00616E7A"/>
    <w:rsid w:val="0061716A"/>
    <w:rsid w:val="006176B4"/>
    <w:rsid w:val="00617987"/>
    <w:rsid w:val="00617B96"/>
    <w:rsid w:val="00617D5F"/>
    <w:rsid w:val="00617D76"/>
    <w:rsid w:val="00617F4B"/>
    <w:rsid w:val="00620083"/>
    <w:rsid w:val="0062009D"/>
    <w:rsid w:val="006200E3"/>
    <w:rsid w:val="00620217"/>
    <w:rsid w:val="006206C4"/>
    <w:rsid w:val="00620732"/>
    <w:rsid w:val="00620CE5"/>
    <w:rsid w:val="00620DFF"/>
    <w:rsid w:val="00620E16"/>
    <w:rsid w:val="006212E7"/>
    <w:rsid w:val="00621302"/>
    <w:rsid w:val="00621576"/>
    <w:rsid w:val="006218B2"/>
    <w:rsid w:val="00621B29"/>
    <w:rsid w:val="00621D5A"/>
    <w:rsid w:val="00621D8B"/>
    <w:rsid w:val="006224FD"/>
    <w:rsid w:val="0062269A"/>
    <w:rsid w:val="006227BA"/>
    <w:rsid w:val="006229E5"/>
    <w:rsid w:val="00622B2F"/>
    <w:rsid w:val="0062314D"/>
    <w:rsid w:val="00623278"/>
    <w:rsid w:val="006235DC"/>
    <w:rsid w:val="00623932"/>
    <w:rsid w:val="00623C3F"/>
    <w:rsid w:val="00623D08"/>
    <w:rsid w:val="00623EAA"/>
    <w:rsid w:val="006240D1"/>
    <w:rsid w:val="006243E4"/>
    <w:rsid w:val="00624470"/>
    <w:rsid w:val="006247E1"/>
    <w:rsid w:val="00624AED"/>
    <w:rsid w:val="00624CF4"/>
    <w:rsid w:val="00625092"/>
    <w:rsid w:val="0062553E"/>
    <w:rsid w:val="006258FC"/>
    <w:rsid w:val="00625970"/>
    <w:rsid w:val="006259A4"/>
    <w:rsid w:val="006259BE"/>
    <w:rsid w:val="00625BE5"/>
    <w:rsid w:val="00625C75"/>
    <w:rsid w:val="00625CBD"/>
    <w:rsid w:val="00625E4B"/>
    <w:rsid w:val="00626173"/>
    <w:rsid w:val="00626483"/>
    <w:rsid w:val="006265E5"/>
    <w:rsid w:val="006266F0"/>
    <w:rsid w:val="00626DD7"/>
    <w:rsid w:val="00627CCF"/>
    <w:rsid w:val="00627FC6"/>
    <w:rsid w:val="00630040"/>
    <w:rsid w:val="00630316"/>
    <w:rsid w:val="006305E7"/>
    <w:rsid w:val="00630AAB"/>
    <w:rsid w:val="00630AE8"/>
    <w:rsid w:val="00630C21"/>
    <w:rsid w:val="00630E03"/>
    <w:rsid w:val="00630FC8"/>
    <w:rsid w:val="00630FEC"/>
    <w:rsid w:val="006312EE"/>
    <w:rsid w:val="00631333"/>
    <w:rsid w:val="0063170C"/>
    <w:rsid w:val="00631C51"/>
    <w:rsid w:val="00631DDE"/>
    <w:rsid w:val="00631E38"/>
    <w:rsid w:val="00631FA1"/>
    <w:rsid w:val="00632438"/>
    <w:rsid w:val="0063257D"/>
    <w:rsid w:val="00632832"/>
    <w:rsid w:val="00632877"/>
    <w:rsid w:val="00632952"/>
    <w:rsid w:val="006329C0"/>
    <w:rsid w:val="00632CB9"/>
    <w:rsid w:val="00632FF0"/>
    <w:rsid w:val="006331D5"/>
    <w:rsid w:val="00633492"/>
    <w:rsid w:val="0063357D"/>
    <w:rsid w:val="00633711"/>
    <w:rsid w:val="00633933"/>
    <w:rsid w:val="00633CD8"/>
    <w:rsid w:val="0063459A"/>
    <w:rsid w:val="006346AE"/>
    <w:rsid w:val="00634742"/>
    <w:rsid w:val="00634B16"/>
    <w:rsid w:val="00634B5B"/>
    <w:rsid w:val="00634BFB"/>
    <w:rsid w:val="00634C76"/>
    <w:rsid w:val="0063513C"/>
    <w:rsid w:val="00635232"/>
    <w:rsid w:val="006352EF"/>
    <w:rsid w:val="00635446"/>
    <w:rsid w:val="00635473"/>
    <w:rsid w:val="00635475"/>
    <w:rsid w:val="00635BEC"/>
    <w:rsid w:val="00635E81"/>
    <w:rsid w:val="00635F6F"/>
    <w:rsid w:val="006360B2"/>
    <w:rsid w:val="0063633E"/>
    <w:rsid w:val="00636443"/>
    <w:rsid w:val="006365D5"/>
    <w:rsid w:val="006367DA"/>
    <w:rsid w:val="00636CD6"/>
    <w:rsid w:val="00636F36"/>
    <w:rsid w:val="00637F0C"/>
    <w:rsid w:val="006400ED"/>
    <w:rsid w:val="00640185"/>
    <w:rsid w:val="00640426"/>
    <w:rsid w:val="006405F7"/>
    <w:rsid w:val="00640881"/>
    <w:rsid w:val="006408C1"/>
    <w:rsid w:val="00640C5E"/>
    <w:rsid w:val="00640E91"/>
    <w:rsid w:val="00640FF7"/>
    <w:rsid w:val="00641200"/>
    <w:rsid w:val="006413FF"/>
    <w:rsid w:val="00641421"/>
    <w:rsid w:val="006414E6"/>
    <w:rsid w:val="006415CB"/>
    <w:rsid w:val="00641632"/>
    <w:rsid w:val="006416E2"/>
    <w:rsid w:val="00641855"/>
    <w:rsid w:val="0064189E"/>
    <w:rsid w:val="006418AE"/>
    <w:rsid w:val="00641EAF"/>
    <w:rsid w:val="00641FE8"/>
    <w:rsid w:val="00642112"/>
    <w:rsid w:val="006423A9"/>
    <w:rsid w:val="0064261A"/>
    <w:rsid w:val="006428E6"/>
    <w:rsid w:val="00642947"/>
    <w:rsid w:val="00642BC8"/>
    <w:rsid w:val="00642F5C"/>
    <w:rsid w:val="00642F6F"/>
    <w:rsid w:val="00643156"/>
    <w:rsid w:val="006432AB"/>
    <w:rsid w:val="00643356"/>
    <w:rsid w:val="00643463"/>
    <w:rsid w:val="0064350E"/>
    <w:rsid w:val="006435EE"/>
    <w:rsid w:val="0064374B"/>
    <w:rsid w:val="00643B4A"/>
    <w:rsid w:val="00643B74"/>
    <w:rsid w:val="00643CBD"/>
    <w:rsid w:val="00643E82"/>
    <w:rsid w:val="00643F36"/>
    <w:rsid w:val="00643F7B"/>
    <w:rsid w:val="006440B5"/>
    <w:rsid w:val="006440E3"/>
    <w:rsid w:val="0064411D"/>
    <w:rsid w:val="006443B2"/>
    <w:rsid w:val="006443B8"/>
    <w:rsid w:val="006445DA"/>
    <w:rsid w:val="00644767"/>
    <w:rsid w:val="006448FD"/>
    <w:rsid w:val="00644939"/>
    <w:rsid w:val="00644AF7"/>
    <w:rsid w:val="00644B8A"/>
    <w:rsid w:val="00644D0C"/>
    <w:rsid w:val="0064514C"/>
    <w:rsid w:val="00645221"/>
    <w:rsid w:val="006453EC"/>
    <w:rsid w:val="00645566"/>
    <w:rsid w:val="006455DC"/>
    <w:rsid w:val="006457DF"/>
    <w:rsid w:val="00645A2E"/>
    <w:rsid w:val="00645C96"/>
    <w:rsid w:val="00645D5A"/>
    <w:rsid w:val="00645E53"/>
    <w:rsid w:val="00645F2A"/>
    <w:rsid w:val="00645FEE"/>
    <w:rsid w:val="00646595"/>
    <w:rsid w:val="006466C4"/>
    <w:rsid w:val="0064683E"/>
    <w:rsid w:val="006468E3"/>
    <w:rsid w:val="00646C45"/>
    <w:rsid w:val="00646DAF"/>
    <w:rsid w:val="00646DF6"/>
    <w:rsid w:val="00646FEC"/>
    <w:rsid w:val="00647003"/>
    <w:rsid w:val="0064705A"/>
    <w:rsid w:val="00647099"/>
    <w:rsid w:val="00647491"/>
    <w:rsid w:val="006474A3"/>
    <w:rsid w:val="00647593"/>
    <w:rsid w:val="006475AC"/>
    <w:rsid w:val="006475D7"/>
    <w:rsid w:val="00647728"/>
    <w:rsid w:val="00647ADA"/>
    <w:rsid w:val="00647C0E"/>
    <w:rsid w:val="00647D66"/>
    <w:rsid w:val="00647E5E"/>
    <w:rsid w:val="00647F38"/>
    <w:rsid w:val="006507FA"/>
    <w:rsid w:val="00650BA0"/>
    <w:rsid w:val="00650BB1"/>
    <w:rsid w:val="00650CDE"/>
    <w:rsid w:val="00650DA3"/>
    <w:rsid w:val="00650DFB"/>
    <w:rsid w:val="00650FCA"/>
    <w:rsid w:val="0065156E"/>
    <w:rsid w:val="00651CF3"/>
    <w:rsid w:val="00651CFA"/>
    <w:rsid w:val="006520DE"/>
    <w:rsid w:val="00652F6B"/>
    <w:rsid w:val="00653099"/>
    <w:rsid w:val="00653427"/>
    <w:rsid w:val="006539F5"/>
    <w:rsid w:val="00653B39"/>
    <w:rsid w:val="00653B5B"/>
    <w:rsid w:val="00653EB6"/>
    <w:rsid w:val="00654589"/>
    <w:rsid w:val="0065473D"/>
    <w:rsid w:val="006548DA"/>
    <w:rsid w:val="00654C54"/>
    <w:rsid w:val="00654F2B"/>
    <w:rsid w:val="0065532E"/>
    <w:rsid w:val="006553BC"/>
    <w:rsid w:val="00655600"/>
    <w:rsid w:val="00655976"/>
    <w:rsid w:val="006559CF"/>
    <w:rsid w:val="00655A21"/>
    <w:rsid w:val="00655A5D"/>
    <w:rsid w:val="00655D2C"/>
    <w:rsid w:val="00656274"/>
    <w:rsid w:val="0065627A"/>
    <w:rsid w:val="00656563"/>
    <w:rsid w:val="00656610"/>
    <w:rsid w:val="00656693"/>
    <w:rsid w:val="006567C2"/>
    <w:rsid w:val="006569B6"/>
    <w:rsid w:val="0065703C"/>
    <w:rsid w:val="00657239"/>
    <w:rsid w:val="00657377"/>
    <w:rsid w:val="006573E5"/>
    <w:rsid w:val="0065769B"/>
    <w:rsid w:val="00660148"/>
    <w:rsid w:val="006602B9"/>
    <w:rsid w:val="00660628"/>
    <w:rsid w:val="006606B4"/>
    <w:rsid w:val="006608C4"/>
    <w:rsid w:val="00660904"/>
    <w:rsid w:val="00660A65"/>
    <w:rsid w:val="00660BFA"/>
    <w:rsid w:val="00660C4A"/>
    <w:rsid w:val="00660D38"/>
    <w:rsid w:val="006610EC"/>
    <w:rsid w:val="0066131C"/>
    <w:rsid w:val="006617AB"/>
    <w:rsid w:val="00661BFE"/>
    <w:rsid w:val="00661F19"/>
    <w:rsid w:val="00661FC5"/>
    <w:rsid w:val="006620A9"/>
    <w:rsid w:val="00662481"/>
    <w:rsid w:val="00662597"/>
    <w:rsid w:val="00662D73"/>
    <w:rsid w:val="00662E4E"/>
    <w:rsid w:val="00663012"/>
    <w:rsid w:val="00663422"/>
    <w:rsid w:val="00663E0F"/>
    <w:rsid w:val="00664003"/>
    <w:rsid w:val="00664140"/>
    <w:rsid w:val="00664239"/>
    <w:rsid w:val="00664921"/>
    <w:rsid w:val="00664927"/>
    <w:rsid w:val="00664E3C"/>
    <w:rsid w:val="00664F50"/>
    <w:rsid w:val="00664FB6"/>
    <w:rsid w:val="006657F5"/>
    <w:rsid w:val="0066581C"/>
    <w:rsid w:val="006659B5"/>
    <w:rsid w:val="006659D1"/>
    <w:rsid w:val="00665BD0"/>
    <w:rsid w:val="00665D92"/>
    <w:rsid w:val="00665E99"/>
    <w:rsid w:val="00665EBE"/>
    <w:rsid w:val="00666020"/>
    <w:rsid w:val="00666244"/>
    <w:rsid w:val="0066639C"/>
    <w:rsid w:val="006663AC"/>
    <w:rsid w:val="006665B7"/>
    <w:rsid w:val="00666A66"/>
    <w:rsid w:val="00666C53"/>
    <w:rsid w:val="00666CC6"/>
    <w:rsid w:val="00666EA6"/>
    <w:rsid w:val="00667091"/>
    <w:rsid w:val="00667273"/>
    <w:rsid w:val="00667423"/>
    <w:rsid w:val="00667464"/>
    <w:rsid w:val="00667673"/>
    <w:rsid w:val="0066772D"/>
    <w:rsid w:val="0066798D"/>
    <w:rsid w:val="00667D33"/>
    <w:rsid w:val="00667D64"/>
    <w:rsid w:val="00667E04"/>
    <w:rsid w:val="006700CA"/>
    <w:rsid w:val="0067016F"/>
    <w:rsid w:val="0067019E"/>
    <w:rsid w:val="0067026D"/>
    <w:rsid w:val="00670455"/>
    <w:rsid w:val="00670588"/>
    <w:rsid w:val="006705CC"/>
    <w:rsid w:val="0067062C"/>
    <w:rsid w:val="00670774"/>
    <w:rsid w:val="00670A9A"/>
    <w:rsid w:val="00670AAC"/>
    <w:rsid w:val="006711E3"/>
    <w:rsid w:val="00671259"/>
    <w:rsid w:val="0067126E"/>
    <w:rsid w:val="00671355"/>
    <w:rsid w:val="0067141A"/>
    <w:rsid w:val="006715DB"/>
    <w:rsid w:val="006717C6"/>
    <w:rsid w:val="006719BC"/>
    <w:rsid w:val="00671ACE"/>
    <w:rsid w:val="00671CA3"/>
    <w:rsid w:val="00672428"/>
    <w:rsid w:val="006725E5"/>
    <w:rsid w:val="006725FD"/>
    <w:rsid w:val="00672AA7"/>
    <w:rsid w:val="00672B9B"/>
    <w:rsid w:val="00672C61"/>
    <w:rsid w:val="00672D2F"/>
    <w:rsid w:val="00672F94"/>
    <w:rsid w:val="0067304E"/>
    <w:rsid w:val="006731C0"/>
    <w:rsid w:val="006736FD"/>
    <w:rsid w:val="006738ED"/>
    <w:rsid w:val="00673A1E"/>
    <w:rsid w:val="00673BC2"/>
    <w:rsid w:val="00673C5B"/>
    <w:rsid w:val="00673DDA"/>
    <w:rsid w:val="00673E68"/>
    <w:rsid w:val="006746D5"/>
    <w:rsid w:val="00674843"/>
    <w:rsid w:val="00674903"/>
    <w:rsid w:val="00674AB9"/>
    <w:rsid w:val="00674AEC"/>
    <w:rsid w:val="00674BC7"/>
    <w:rsid w:val="00674D17"/>
    <w:rsid w:val="006750DA"/>
    <w:rsid w:val="006752CD"/>
    <w:rsid w:val="00675620"/>
    <w:rsid w:val="006756F2"/>
    <w:rsid w:val="00675C24"/>
    <w:rsid w:val="0067600C"/>
    <w:rsid w:val="00676206"/>
    <w:rsid w:val="00676264"/>
    <w:rsid w:val="006766E8"/>
    <w:rsid w:val="006766E9"/>
    <w:rsid w:val="00676AEB"/>
    <w:rsid w:val="00676B40"/>
    <w:rsid w:val="00676C1B"/>
    <w:rsid w:val="006770D1"/>
    <w:rsid w:val="00677719"/>
    <w:rsid w:val="0067772B"/>
    <w:rsid w:val="00677E7C"/>
    <w:rsid w:val="00677F14"/>
    <w:rsid w:val="006800BC"/>
    <w:rsid w:val="00680298"/>
    <w:rsid w:val="006804F2"/>
    <w:rsid w:val="006805EF"/>
    <w:rsid w:val="0068065C"/>
    <w:rsid w:val="00680673"/>
    <w:rsid w:val="0068097C"/>
    <w:rsid w:val="00680B9B"/>
    <w:rsid w:val="006812B5"/>
    <w:rsid w:val="006812B9"/>
    <w:rsid w:val="00681378"/>
    <w:rsid w:val="006814DA"/>
    <w:rsid w:val="006817FA"/>
    <w:rsid w:val="006819E3"/>
    <w:rsid w:val="00681B3B"/>
    <w:rsid w:val="00681DFE"/>
    <w:rsid w:val="00681E7C"/>
    <w:rsid w:val="00681E98"/>
    <w:rsid w:val="006823C8"/>
    <w:rsid w:val="0068262E"/>
    <w:rsid w:val="0068266C"/>
    <w:rsid w:val="00682B95"/>
    <w:rsid w:val="00682CD1"/>
    <w:rsid w:val="00683166"/>
    <w:rsid w:val="00683182"/>
    <w:rsid w:val="0068335A"/>
    <w:rsid w:val="006833D6"/>
    <w:rsid w:val="00683517"/>
    <w:rsid w:val="006836E4"/>
    <w:rsid w:val="0068398A"/>
    <w:rsid w:val="00683CD0"/>
    <w:rsid w:val="00683CFC"/>
    <w:rsid w:val="00683D69"/>
    <w:rsid w:val="00683E86"/>
    <w:rsid w:val="00683EC4"/>
    <w:rsid w:val="00683F48"/>
    <w:rsid w:val="006841F9"/>
    <w:rsid w:val="00684251"/>
    <w:rsid w:val="00684354"/>
    <w:rsid w:val="00684535"/>
    <w:rsid w:val="00684625"/>
    <w:rsid w:val="00684C8F"/>
    <w:rsid w:val="00684CBD"/>
    <w:rsid w:val="006852B3"/>
    <w:rsid w:val="0068539D"/>
    <w:rsid w:val="006854FA"/>
    <w:rsid w:val="00685F6A"/>
    <w:rsid w:val="00685F76"/>
    <w:rsid w:val="0068600C"/>
    <w:rsid w:val="00686648"/>
    <w:rsid w:val="00686669"/>
    <w:rsid w:val="006868CD"/>
    <w:rsid w:val="00686B20"/>
    <w:rsid w:val="00686DBF"/>
    <w:rsid w:val="00686EA6"/>
    <w:rsid w:val="00686ED3"/>
    <w:rsid w:val="00687207"/>
    <w:rsid w:val="006872A9"/>
    <w:rsid w:val="00687435"/>
    <w:rsid w:val="00687495"/>
    <w:rsid w:val="00687922"/>
    <w:rsid w:val="00687AF3"/>
    <w:rsid w:val="00687CB8"/>
    <w:rsid w:val="00687DB9"/>
    <w:rsid w:val="00687DF9"/>
    <w:rsid w:val="00687F8E"/>
    <w:rsid w:val="0069015D"/>
    <w:rsid w:val="0069022E"/>
    <w:rsid w:val="0069057F"/>
    <w:rsid w:val="00690CE3"/>
    <w:rsid w:val="00690CFD"/>
    <w:rsid w:val="00690F7C"/>
    <w:rsid w:val="00690FAE"/>
    <w:rsid w:val="00691236"/>
    <w:rsid w:val="0069128B"/>
    <w:rsid w:val="00691466"/>
    <w:rsid w:val="00691975"/>
    <w:rsid w:val="00691AAC"/>
    <w:rsid w:val="00691E3B"/>
    <w:rsid w:val="006921A6"/>
    <w:rsid w:val="00692766"/>
    <w:rsid w:val="00692B1C"/>
    <w:rsid w:val="00692D65"/>
    <w:rsid w:val="00692E55"/>
    <w:rsid w:val="00693164"/>
    <w:rsid w:val="00693319"/>
    <w:rsid w:val="006936CA"/>
    <w:rsid w:val="0069380A"/>
    <w:rsid w:val="00693AE0"/>
    <w:rsid w:val="00693BE1"/>
    <w:rsid w:val="00693BF5"/>
    <w:rsid w:val="00693E25"/>
    <w:rsid w:val="00693E7A"/>
    <w:rsid w:val="0069446A"/>
    <w:rsid w:val="006944DC"/>
    <w:rsid w:val="0069456C"/>
    <w:rsid w:val="00694967"/>
    <w:rsid w:val="00694C47"/>
    <w:rsid w:val="00694CCB"/>
    <w:rsid w:val="00694F80"/>
    <w:rsid w:val="006953A7"/>
    <w:rsid w:val="00695435"/>
    <w:rsid w:val="0069567F"/>
    <w:rsid w:val="0069588C"/>
    <w:rsid w:val="00695AFA"/>
    <w:rsid w:val="00695BDC"/>
    <w:rsid w:val="00695C23"/>
    <w:rsid w:val="00695C56"/>
    <w:rsid w:val="00695CE1"/>
    <w:rsid w:val="00696396"/>
    <w:rsid w:val="0069679E"/>
    <w:rsid w:val="00696FC8"/>
    <w:rsid w:val="006972D6"/>
    <w:rsid w:val="0069738E"/>
    <w:rsid w:val="0069742E"/>
    <w:rsid w:val="0069761A"/>
    <w:rsid w:val="00697676"/>
    <w:rsid w:val="0069770B"/>
    <w:rsid w:val="0069788A"/>
    <w:rsid w:val="00697B60"/>
    <w:rsid w:val="00697BAE"/>
    <w:rsid w:val="00697F3D"/>
    <w:rsid w:val="006A0498"/>
    <w:rsid w:val="006A0601"/>
    <w:rsid w:val="006A0AE2"/>
    <w:rsid w:val="006A0B1D"/>
    <w:rsid w:val="006A0C61"/>
    <w:rsid w:val="006A0D13"/>
    <w:rsid w:val="006A0E1B"/>
    <w:rsid w:val="006A10E4"/>
    <w:rsid w:val="006A13A6"/>
    <w:rsid w:val="006A176F"/>
    <w:rsid w:val="006A17D8"/>
    <w:rsid w:val="006A19E5"/>
    <w:rsid w:val="006A202D"/>
    <w:rsid w:val="006A214C"/>
    <w:rsid w:val="006A2B31"/>
    <w:rsid w:val="006A31B5"/>
    <w:rsid w:val="006A329A"/>
    <w:rsid w:val="006A41E0"/>
    <w:rsid w:val="006A427C"/>
    <w:rsid w:val="006A4289"/>
    <w:rsid w:val="006A4410"/>
    <w:rsid w:val="006A4488"/>
    <w:rsid w:val="006A45E7"/>
    <w:rsid w:val="006A4891"/>
    <w:rsid w:val="006A4CAE"/>
    <w:rsid w:val="006A51C6"/>
    <w:rsid w:val="006A5209"/>
    <w:rsid w:val="006A5682"/>
    <w:rsid w:val="006A5932"/>
    <w:rsid w:val="006A5A61"/>
    <w:rsid w:val="006A5AA7"/>
    <w:rsid w:val="006A5AB3"/>
    <w:rsid w:val="006A5F7C"/>
    <w:rsid w:val="006A5FAE"/>
    <w:rsid w:val="006A6496"/>
    <w:rsid w:val="006A683C"/>
    <w:rsid w:val="006A6859"/>
    <w:rsid w:val="006A6CD2"/>
    <w:rsid w:val="006A6D9C"/>
    <w:rsid w:val="006A6E2B"/>
    <w:rsid w:val="006A70FB"/>
    <w:rsid w:val="006A7414"/>
    <w:rsid w:val="006A7415"/>
    <w:rsid w:val="006A76C5"/>
    <w:rsid w:val="006A782B"/>
    <w:rsid w:val="006B0CE7"/>
    <w:rsid w:val="006B0E50"/>
    <w:rsid w:val="006B16C9"/>
    <w:rsid w:val="006B16E4"/>
    <w:rsid w:val="006B1733"/>
    <w:rsid w:val="006B185C"/>
    <w:rsid w:val="006B1A89"/>
    <w:rsid w:val="006B1C47"/>
    <w:rsid w:val="006B216F"/>
    <w:rsid w:val="006B2387"/>
    <w:rsid w:val="006B2525"/>
    <w:rsid w:val="006B258D"/>
    <w:rsid w:val="006B26EF"/>
    <w:rsid w:val="006B2713"/>
    <w:rsid w:val="006B29CF"/>
    <w:rsid w:val="006B29EC"/>
    <w:rsid w:val="006B2A13"/>
    <w:rsid w:val="006B2A93"/>
    <w:rsid w:val="006B2D2C"/>
    <w:rsid w:val="006B2EA8"/>
    <w:rsid w:val="006B2EE1"/>
    <w:rsid w:val="006B2F2F"/>
    <w:rsid w:val="006B3150"/>
    <w:rsid w:val="006B344A"/>
    <w:rsid w:val="006B3AF4"/>
    <w:rsid w:val="006B3CBD"/>
    <w:rsid w:val="006B406C"/>
    <w:rsid w:val="006B41D3"/>
    <w:rsid w:val="006B4231"/>
    <w:rsid w:val="006B428F"/>
    <w:rsid w:val="006B42C0"/>
    <w:rsid w:val="006B45C2"/>
    <w:rsid w:val="006B5027"/>
    <w:rsid w:val="006B50B6"/>
    <w:rsid w:val="006B5363"/>
    <w:rsid w:val="006B5457"/>
    <w:rsid w:val="006B5C3A"/>
    <w:rsid w:val="006B5DBD"/>
    <w:rsid w:val="006B5DC5"/>
    <w:rsid w:val="006B60A1"/>
    <w:rsid w:val="006B62FD"/>
    <w:rsid w:val="006B64FC"/>
    <w:rsid w:val="006B654A"/>
    <w:rsid w:val="006B6D0E"/>
    <w:rsid w:val="006B6D6F"/>
    <w:rsid w:val="006B6FE6"/>
    <w:rsid w:val="006B7483"/>
    <w:rsid w:val="006B75FD"/>
    <w:rsid w:val="006B78CC"/>
    <w:rsid w:val="006B7CFE"/>
    <w:rsid w:val="006B7D73"/>
    <w:rsid w:val="006C0096"/>
    <w:rsid w:val="006C04B1"/>
    <w:rsid w:val="006C0976"/>
    <w:rsid w:val="006C0AA1"/>
    <w:rsid w:val="006C0B30"/>
    <w:rsid w:val="006C0BDA"/>
    <w:rsid w:val="006C0D9D"/>
    <w:rsid w:val="006C0DA8"/>
    <w:rsid w:val="006C0E4D"/>
    <w:rsid w:val="006C12E1"/>
    <w:rsid w:val="006C1343"/>
    <w:rsid w:val="006C1555"/>
    <w:rsid w:val="006C1CCB"/>
    <w:rsid w:val="006C1E10"/>
    <w:rsid w:val="006C2321"/>
    <w:rsid w:val="006C2333"/>
    <w:rsid w:val="006C248F"/>
    <w:rsid w:val="006C2517"/>
    <w:rsid w:val="006C28FC"/>
    <w:rsid w:val="006C2A8D"/>
    <w:rsid w:val="006C2B8A"/>
    <w:rsid w:val="006C2F39"/>
    <w:rsid w:val="006C3083"/>
    <w:rsid w:val="006C30FE"/>
    <w:rsid w:val="006C33E4"/>
    <w:rsid w:val="006C3A76"/>
    <w:rsid w:val="006C3B22"/>
    <w:rsid w:val="006C3B28"/>
    <w:rsid w:val="006C3C9C"/>
    <w:rsid w:val="006C3EB8"/>
    <w:rsid w:val="006C422B"/>
    <w:rsid w:val="006C43A7"/>
    <w:rsid w:val="006C455D"/>
    <w:rsid w:val="006C46C3"/>
    <w:rsid w:val="006C47FB"/>
    <w:rsid w:val="006C4AC8"/>
    <w:rsid w:val="006C4E8F"/>
    <w:rsid w:val="006C578C"/>
    <w:rsid w:val="006C582F"/>
    <w:rsid w:val="006C5CC0"/>
    <w:rsid w:val="006C628B"/>
    <w:rsid w:val="006C6356"/>
    <w:rsid w:val="006C64EA"/>
    <w:rsid w:val="006C64F4"/>
    <w:rsid w:val="006C671F"/>
    <w:rsid w:val="006C682F"/>
    <w:rsid w:val="006C6AF7"/>
    <w:rsid w:val="006C6B02"/>
    <w:rsid w:val="006C70AA"/>
    <w:rsid w:val="006C723C"/>
    <w:rsid w:val="006C73E7"/>
    <w:rsid w:val="006C7476"/>
    <w:rsid w:val="006C76B8"/>
    <w:rsid w:val="006C76F2"/>
    <w:rsid w:val="006C785F"/>
    <w:rsid w:val="006C7E1D"/>
    <w:rsid w:val="006C7E99"/>
    <w:rsid w:val="006C7ED1"/>
    <w:rsid w:val="006D007A"/>
    <w:rsid w:val="006D04E1"/>
    <w:rsid w:val="006D0560"/>
    <w:rsid w:val="006D085E"/>
    <w:rsid w:val="006D099B"/>
    <w:rsid w:val="006D0E5E"/>
    <w:rsid w:val="006D0F3B"/>
    <w:rsid w:val="006D0F3F"/>
    <w:rsid w:val="006D0FAB"/>
    <w:rsid w:val="006D109C"/>
    <w:rsid w:val="006D17BA"/>
    <w:rsid w:val="006D197C"/>
    <w:rsid w:val="006D1D98"/>
    <w:rsid w:val="006D1E92"/>
    <w:rsid w:val="006D21E9"/>
    <w:rsid w:val="006D22D2"/>
    <w:rsid w:val="006D24DE"/>
    <w:rsid w:val="006D2534"/>
    <w:rsid w:val="006D2856"/>
    <w:rsid w:val="006D28FE"/>
    <w:rsid w:val="006D2914"/>
    <w:rsid w:val="006D2B1D"/>
    <w:rsid w:val="006D2B28"/>
    <w:rsid w:val="006D2CA8"/>
    <w:rsid w:val="006D2E38"/>
    <w:rsid w:val="006D33D3"/>
    <w:rsid w:val="006D3809"/>
    <w:rsid w:val="006D4205"/>
    <w:rsid w:val="006D4315"/>
    <w:rsid w:val="006D43DA"/>
    <w:rsid w:val="006D441F"/>
    <w:rsid w:val="006D4455"/>
    <w:rsid w:val="006D455B"/>
    <w:rsid w:val="006D47E6"/>
    <w:rsid w:val="006D50B0"/>
    <w:rsid w:val="006D53F2"/>
    <w:rsid w:val="006D5522"/>
    <w:rsid w:val="006D5798"/>
    <w:rsid w:val="006D5A71"/>
    <w:rsid w:val="006D5B51"/>
    <w:rsid w:val="006D5E35"/>
    <w:rsid w:val="006D610A"/>
    <w:rsid w:val="006D61EC"/>
    <w:rsid w:val="006D6279"/>
    <w:rsid w:val="006D654F"/>
    <w:rsid w:val="006D67DD"/>
    <w:rsid w:val="006D68AB"/>
    <w:rsid w:val="006D69EE"/>
    <w:rsid w:val="006D6A20"/>
    <w:rsid w:val="006D6B61"/>
    <w:rsid w:val="006D6B74"/>
    <w:rsid w:val="006D723A"/>
    <w:rsid w:val="006D7385"/>
    <w:rsid w:val="006D744B"/>
    <w:rsid w:val="006D7975"/>
    <w:rsid w:val="006D7D29"/>
    <w:rsid w:val="006D7DC3"/>
    <w:rsid w:val="006E028C"/>
    <w:rsid w:val="006E03E6"/>
    <w:rsid w:val="006E05C8"/>
    <w:rsid w:val="006E05F3"/>
    <w:rsid w:val="006E0DE5"/>
    <w:rsid w:val="006E0EDF"/>
    <w:rsid w:val="006E0F1B"/>
    <w:rsid w:val="006E0FB4"/>
    <w:rsid w:val="006E120F"/>
    <w:rsid w:val="006E1220"/>
    <w:rsid w:val="006E1A9B"/>
    <w:rsid w:val="006E1B04"/>
    <w:rsid w:val="006E1F5B"/>
    <w:rsid w:val="006E1F9B"/>
    <w:rsid w:val="006E2054"/>
    <w:rsid w:val="006E23B1"/>
    <w:rsid w:val="006E268F"/>
    <w:rsid w:val="006E289D"/>
    <w:rsid w:val="006E2994"/>
    <w:rsid w:val="006E29E5"/>
    <w:rsid w:val="006E2B4F"/>
    <w:rsid w:val="006E2EFE"/>
    <w:rsid w:val="006E3167"/>
    <w:rsid w:val="006E33DD"/>
    <w:rsid w:val="006E389F"/>
    <w:rsid w:val="006E39C8"/>
    <w:rsid w:val="006E3A3E"/>
    <w:rsid w:val="006E3B7A"/>
    <w:rsid w:val="006E3E19"/>
    <w:rsid w:val="006E3EAD"/>
    <w:rsid w:val="006E402D"/>
    <w:rsid w:val="006E461F"/>
    <w:rsid w:val="006E4CB8"/>
    <w:rsid w:val="006E53CC"/>
    <w:rsid w:val="006E5A1C"/>
    <w:rsid w:val="006E5A3A"/>
    <w:rsid w:val="006E5A5E"/>
    <w:rsid w:val="006E636A"/>
    <w:rsid w:val="006E63DE"/>
    <w:rsid w:val="006E6513"/>
    <w:rsid w:val="006E6C9E"/>
    <w:rsid w:val="006E7604"/>
    <w:rsid w:val="006E777A"/>
    <w:rsid w:val="006E779C"/>
    <w:rsid w:val="006E7A1B"/>
    <w:rsid w:val="006E7B84"/>
    <w:rsid w:val="006F04E7"/>
    <w:rsid w:val="006F06E6"/>
    <w:rsid w:val="006F0701"/>
    <w:rsid w:val="006F078F"/>
    <w:rsid w:val="006F07AC"/>
    <w:rsid w:val="006F08B4"/>
    <w:rsid w:val="006F09ED"/>
    <w:rsid w:val="006F0CBE"/>
    <w:rsid w:val="006F0D79"/>
    <w:rsid w:val="006F0D93"/>
    <w:rsid w:val="006F0ED9"/>
    <w:rsid w:val="006F1111"/>
    <w:rsid w:val="006F12B5"/>
    <w:rsid w:val="006F133A"/>
    <w:rsid w:val="006F1610"/>
    <w:rsid w:val="006F17A7"/>
    <w:rsid w:val="006F17C1"/>
    <w:rsid w:val="006F1A2D"/>
    <w:rsid w:val="006F1B53"/>
    <w:rsid w:val="006F1F04"/>
    <w:rsid w:val="006F2124"/>
    <w:rsid w:val="006F2504"/>
    <w:rsid w:val="006F26E4"/>
    <w:rsid w:val="006F27BA"/>
    <w:rsid w:val="006F2E7D"/>
    <w:rsid w:val="006F2FAE"/>
    <w:rsid w:val="006F2FB1"/>
    <w:rsid w:val="006F3068"/>
    <w:rsid w:val="006F3124"/>
    <w:rsid w:val="006F324D"/>
    <w:rsid w:val="006F3484"/>
    <w:rsid w:val="006F3713"/>
    <w:rsid w:val="006F397B"/>
    <w:rsid w:val="006F39A2"/>
    <w:rsid w:val="006F39EE"/>
    <w:rsid w:val="006F43F0"/>
    <w:rsid w:val="006F48F4"/>
    <w:rsid w:val="006F4B21"/>
    <w:rsid w:val="006F4D53"/>
    <w:rsid w:val="006F51A7"/>
    <w:rsid w:val="006F559D"/>
    <w:rsid w:val="006F5664"/>
    <w:rsid w:val="006F5A6F"/>
    <w:rsid w:val="006F5B6E"/>
    <w:rsid w:val="006F5BEB"/>
    <w:rsid w:val="006F5C4D"/>
    <w:rsid w:val="006F5CB5"/>
    <w:rsid w:val="006F5F64"/>
    <w:rsid w:val="006F63AA"/>
    <w:rsid w:val="006F65CD"/>
    <w:rsid w:val="006F68E9"/>
    <w:rsid w:val="006F68F1"/>
    <w:rsid w:val="006F6D57"/>
    <w:rsid w:val="006F6E57"/>
    <w:rsid w:val="006F6F2D"/>
    <w:rsid w:val="006F6F32"/>
    <w:rsid w:val="006F7511"/>
    <w:rsid w:val="006F75CF"/>
    <w:rsid w:val="006F791C"/>
    <w:rsid w:val="006F7FB7"/>
    <w:rsid w:val="007000C8"/>
    <w:rsid w:val="007007B5"/>
    <w:rsid w:val="00700A07"/>
    <w:rsid w:val="00700A22"/>
    <w:rsid w:val="00700B58"/>
    <w:rsid w:val="00700C51"/>
    <w:rsid w:val="00700CCD"/>
    <w:rsid w:val="00700CED"/>
    <w:rsid w:val="00700D14"/>
    <w:rsid w:val="00700E33"/>
    <w:rsid w:val="0070147C"/>
    <w:rsid w:val="00701646"/>
    <w:rsid w:val="0070172D"/>
    <w:rsid w:val="00701826"/>
    <w:rsid w:val="00701A7D"/>
    <w:rsid w:val="00701A7E"/>
    <w:rsid w:val="00701D25"/>
    <w:rsid w:val="00701F6B"/>
    <w:rsid w:val="007020E5"/>
    <w:rsid w:val="00702425"/>
    <w:rsid w:val="0070264C"/>
    <w:rsid w:val="007026B8"/>
    <w:rsid w:val="00702A0A"/>
    <w:rsid w:val="00702C70"/>
    <w:rsid w:val="00702CC4"/>
    <w:rsid w:val="007030DD"/>
    <w:rsid w:val="0070321A"/>
    <w:rsid w:val="0070340F"/>
    <w:rsid w:val="007035EC"/>
    <w:rsid w:val="00703654"/>
    <w:rsid w:val="0070366A"/>
    <w:rsid w:val="00703CE9"/>
    <w:rsid w:val="00703D3C"/>
    <w:rsid w:val="00703DD8"/>
    <w:rsid w:val="00703E1E"/>
    <w:rsid w:val="00703FD1"/>
    <w:rsid w:val="00704084"/>
    <w:rsid w:val="007040EA"/>
    <w:rsid w:val="00704270"/>
    <w:rsid w:val="007048FE"/>
    <w:rsid w:val="00705188"/>
    <w:rsid w:val="00705290"/>
    <w:rsid w:val="007052D0"/>
    <w:rsid w:val="0070571E"/>
    <w:rsid w:val="00705D32"/>
    <w:rsid w:val="007060D0"/>
    <w:rsid w:val="00706169"/>
    <w:rsid w:val="007062DC"/>
    <w:rsid w:val="00706925"/>
    <w:rsid w:val="00706A46"/>
    <w:rsid w:val="00706C17"/>
    <w:rsid w:val="007072B2"/>
    <w:rsid w:val="007073D4"/>
    <w:rsid w:val="00707468"/>
    <w:rsid w:val="00707617"/>
    <w:rsid w:val="00707729"/>
    <w:rsid w:val="00710243"/>
    <w:rsid w:val="00710AEB"/>
    <w:rsid w:val="00710B87"/>
    <w:rsid w:val="00710CDD"/>
    <w:rsid w:val="00710DC1"/>
    <w:rsid w:val="00710E86"/>
    <w:rsid w:val="00711A1B"/>
    <w:rsid w:val="00711EC2"/>
    <w:rsid w:val="00711F0E"/>
    <w:rsid w:val="00712155"/>
    <w:rsid w:val="00712597"/>
    <w:rsid w:val="00712734"/>
    <w:rsid w:val="0071291B"/>
    <w:rsid w:val="007130D1"/>
    <w:rsid w:val="007131C7"/>
    <w:rsid w:val="007133B2"/>
    <w:rsid w:val="00713827"/>
    <w:rsid w:val="007139C8"/>
    <w:rsid w:val="00713A72"/>
    <w:rsid w:val="00713D23"/>
    <w:rsid w:val="00714040"/>
    <w:rsid w:val="0071418C"/>
    <w:rsid w:val="0071446B"/>
    <w:rsid w:val="007146DA"/>
    <w:rsid w:val="00714BF5"/>
    <w:rsid w:val="00714BF6"/>
    <w:rsid w:val="00715189"/>
    <w:rsid w:val="00715327"/>
    <w:rsid w:val="007153AC"/>
    <w:rsid w:val="0071558D"/>
    <w:rsid w:val="00715863"/>
    <w:rsid w:val="007158EA"/>
    <w:rsid w:val="00715B98"/>
    <w:rsid w:val="00715E8D"/>
    <w:rsid w:val="00715F25"/>
    <w:rsid w:val="0071644C"/>
    <w:rsid w:val="0071644E"/>
    <w:rsid w:val="00716BAB"/>
    <w:rsid w:val="00716CFA"/>
    <w:rsid w:val="00716EB4"/>
    <w:rsid w:val="00716FB3"/>
    <w:rsid w:val="007171BD"/>
    <w:rsid w:val="0071744C"/>
    <w:rsid w:val="00717882"/>
    <w:rsid w:val="00717C65"/>
    <w:rsid w:val="00717FC5"/>
    <w:rsid w:val="00720564"/>
    <w:rsid w:val="00720610"/>
    <w:rsid w:val="00721136"/>
    <w:rsid w:val="007216C8"/>
    <w:rsid w:val="00721A5A"/>
    <w:rsid w:val="00721CC6"/>
    <w:rsid w:val="00721CFA"/>
    <w:rsid w:val="00722048"/>
    <w:rsid w:val="0072217B"/>
    <w:rsid w:val="00722267"/>
    <w:rsid w:val="00722717"/>
    <w:rsid w:val="0072281A"/>
    <w:rsid w:val="007228BF"/>
    <w:rsid w:val="0072313A"/>
    <w:rsid w:val="00723A80"/>
    <w:rsid w:val="00723ADE"/>
    <w:rsid w:val="00723AE2"/>
    <w:rsid w:val="00723B3A"/>
    <w:rsid w:val="00723DAD"/>
    <w:rsid w:val="00724099"/>
    <w:rsid w:val="0072415F"/>
    <w:rsid w:val="00724539"/>
    <w:rsid w:val="00724899"/>
    <w:rsid w:val="00724B10"/>
    <w:rsid w:val="00724F76"/>
    <w:rsid w:val="0072501B"/>
    <w:rsid w:val="00725218"/>
    <w:rsid w:val="00725539"/>
    <w:rsid w:val="0072575A"/>
    <w:rsid w:val="0072583D"/>
    <w:rsid w:val="007259FC"/>
    <w:rsid w:val="00725BB9"/>
    <w:rsid w:val="00725F2B"/>
    <w:rsid w:val="00725F34"/>
    <w:rsid w:val="00726009"/>
    <w:rsid w:val="007260F2"/>
    <w:rsid w:val="007265AB"/>
    <w:rsid w:val="00726A02"/>
    <w:rsid w:val="0072726E"/>
    <w:rsid w:val="00727296"/>
    <w:rsid w:val="00727624"/>
    <w:rsid w:val="007276A1"/>
    <w:rsid w:val="00727C40"/>
    <w:rsid w:val="00727CFB"/>
    <w:rsid w:val="00727DF4"/>
    <w:rsid w:val="0073022C"/>
    <w:rsid w:val="00730234"/>
    <w:rsid w:val="0073049E"/>
    <w:rsid w:val="0073072A"/>
    <w:rsid w:val="00730CB9"/>
    <w:rsid w:val="00730EDD"/>
    <w:rsid w:val="00730F03"/>
    <w:rsid w:val="00730F25"/>
    <w:rsid w:val="00731111"/>
    <w:rsid w:val="00731190"/>
    <w:rsid w:val="00731341"/>
    <w:rsid w:val="00731468"/>
    <w:rsid w:val="00731A4B"/>
    <w:rsid w:val="00731FB3"/>
    <w:rsid w:val="00731FBB"/>
    <w:rsid w:val="0073209F"/>
    <w:rsid w:val="007321D4"/>
    <w:rsid w:val="00732217"/>
    <w:rsid w:val="00732715"/>
    <w:rsid w:val="00732A05"/>
    <w:rsid w:val="00732B80"/>
    <w:rsid w:val="0073334B"/>
    <w:rsid w:val="007333EE"/>
    <w:rsid w:val="00733628"/>
    <w:rsid w:val="007338FE"/>
    <w:rsid w:val="0073393B"/>
    <w:rsid w:val="007341C4"/>
    <w:rsid w:val="007343DA"/>
    <w:rsid w:val="00734495"/>
    <w:rsid w:val="007345B7"/>
    <w:rsid w:val="00734A21"/>
    <w:rsid w:val="00734CEE"/>
    <w:rsid w:val="00734E85"/>
    <w:rsid w:val="007352E3"/>
    <w:rsid w:val="00735373"/>
    <w:rsid w:val="00735427"/>
    <w:rsid w:val="00735742"/>
    <w:rsid w:val="007357F4"/>
    <w:rsid w:val="00735A9A"/>
    <w:rsid w:val="00735AFD"/>
    <w:rsid w:val="00735E3D"/>
    <w:rsid w:val="007364D1"/>
    <w:rsid w:val="00736C4D"/>
    <w:rsid w:val="00736EE9"/>
    <w:rsid w:val="00737218"/>
    <w:rsid w:val="00737250"/>
    <w:rsid w:val="007373E8"/>
    <w:rsid w:val="0073773D"/>
    <w:rsid w:val="00737A89"/>
    <w:rsid w:val="00737B59"/>
    <w:rsid w:val="00737C8B"/>
    <w:rsid w:val="00737FDD"/>
    <w:rsid w:val="0074010F"/>
    <w:rsid w:val="007402F2"/>
    <w:rsid w:val="00740568"/>
    <w:rsid w:val="0074056F"/>
    <w:rsid w:val="00740571"/>
    <w:rsid w:val="007405F0"/>
    <w:rsid w:val="00740957"/>
    <w:rsid w:val="007412A9"/>
    <w:rsid w:val="00741336"/>
    <w:rsid w:val="007415E8"/>
    <w:rsid w:val="00741DD9"/>
    <w:rsid w:val="007420E2"/>
    <w:rsid w:val="007423B8"/>
    <w:rsid w:val="00742421"/>
    <w:rsid w:val="00742469"/>
    <w:rsid w:val="0074280F"/>
    <w:rsid w:val="00742A70"/>
    <w:rsid w:val="00742D24"/>
    <w:rsid w:val="00742DF5"/>
    <w:rsid w:val="007432D3"/>
    <w:rsid w:val="00743393"/>
    <w:rsid w:val="00743746"/>
    <w:rsid w:val="00743801"/>
    <w:rsid w:val="00743C15"/>
    <w:rsid w:val="00743C85"/>
    <w:rsid w:val="00743D14"/>
    <w:rsid w:val="00743F49"/>
    <w:rsid w:val="00744043"/>
    <w:rsid w:val="007441AF"/>
    <w:rsid w:val="0074434C"/>
    <w:rsid w:val="007443A9"/>
    <w:rsid w:val="00744593"/>
    <w:rsid w:val="0074479A"/>
    <w:rsid w:val="0074481C"/>
    <w:rsid w:val="007449F9"/>
    <w:rsid w:val="00744B09"/>
    <w:rsid w:val="007455B6"/>
    <w:rsid w:val="00745672"/>
    <w:rsid w:val="0074587E"/>
    <w:rsid w:val="00745F7E"/>
    <w:rsid w:val="00745F94"/>
    <w:rsid w:val="00746202"/>
    <w:rsid w:val="00746344"/>
    <w:rsid w:val="00746913"/>
    <w:rsid w:val="00746E3B"/>
    <w:rsid w:val="00746E45"/>
    <w:rsid w:val="00747585"/>
    <w:rsid w:val="007478B4"/>
    <w:rsid w:val="00747B2A"/>
    <w:rsid w:val="00747D9C"/>
    <w:rsid w:val="00750098"/>
    <w:rsid w:val="00750119"/>
    <w:rsid w:val="007503E4"/>
    <w:rsid w:val="007504AF"/>
    <w:rsid w:val="007505F9"/>
    <w:rsid w:val="007509F3"/>
    <w:rsid w:val="00750B02"/>
    <w:rsid w:val="00750C44"/>
    <w:rsid w:val="00750C51"/>
    <w:rsid w:val="00750DA5"/>
    <w:rsid w:val="00750EE0"/>
    <w:rsid w:val="0075105C"/>
    <w:rsid w:val="007513CD"/>
    <w:rsid w:val="0075145B"/>
    <w:rsid w:val="007514CB"/>
    <w:rsid w:val="0075151F"/>
    <w:rsid w:val="00751660"/>
    <w:rsid w:val="00751967"/>
    <w:rsid w:val="00751C0D"/>
    <w:rsid w:val="00751C23"/>
    <w:rsid w:val="00751E0A"/>
    <w:rsid w:val="00752139"/>
    <w:rsid w:val="00752847"/>
    <w:rsid w:val="00752BBA"/>
    <w:rsid w:val="00752D9B"/>
    <w:rsid w:val="00752E1B"/>
    <w:rsid w:val="00752F76"/>
    <w:rsid w:val="0075319E"/>
    <w:rsid w:val="00753208"/>
    <w:rsid w:val="0075329E"/>
    <w:rsid w:val="00753324"/>
    <w:rsid w:val="007535E2"/>
    <w:rsid w:val="00753AEC"/>
    <w:rsid w:val="00753C49"/>
    <w:rsid w:val="00753D13"/>
    <w:rsid w:val="00753E7A"/>
    <w:rsid w:val="0075400D"/>
    <w:rsid w:val="0075410B"/>
    <w:rsid w:val="00754191"/>
    <w:rsid w:val="00754307"/>
    <w:rsid w:val="007543AD"/>
    <w:rsid w:val="007548C2"/>
    <w:rsid w:val="007549DF"/>
    <w:rsid w:val="00754AF3"/>
    <w:rsid w:val="00754C24"/>
    <w:rsid w:val="00754CA2"/>
    <w:rsid w:val="00754E72"/>
    <w:rsid w:val="00755328"/>
    <w:rsid w:val="00755561"/>
    <w:rsid w:val="00755675"/>
    <w:rsid w:val="00755A52"/>
    <w:rsid w:val="00755AAD"/>
    <w:rsid w:val="00755CCB"/>
    <w:rsid w:val="00755F61"/>
    <w:rsid w:val="00756083"/>
    <w:rsid w:val="0075613E"/>
    <w:rsid w:val="007561B4"/>
    <w:rsid w:val="0075620C"/>
    <w:rsid w:val="0075621F"/>
    <w:rsid w:val="0075674E"/>
    <w:rsid w:val="007567DE"/>
    <w:rsid w:val="00756829"/>
    <w:rsid w:val="00756D66"/>
    <w:rsid w:val="00756DC0"/>
    <w:rsid w:val="00756EF5"/>
    <w:rsid w:val="00756F4D"/>
    <w:rsid w:val="00757149"/>
    <w:rsid w:val="00757195"/>
    <w:rsid w:val="00757826"/>
    <w:rsid w:val="00757889"/>
    <w:rsid w:val="00757932"/>
    <w:rsid w:val="0076022D"/>
    <w:rsid w:val="0076023C"/>
    <w:rsid w:val="00760415"/>
    <w:rsid w:val="00760419"/>
    <w:rsid w:val="00760936"/>
    <w:rsid w:val="00760E32"/>
    <w:rsid w:val="0076107A"/>
    <w:rsid w:val="00761205"/>
    <w:rsid w:val="0076172A"/>
    <w:rsid w:val="0076184C"/>
    <w:rsid w:val="00761960"/>
    <w:rsid w:val="00761961"/>
    <w:rsid w:val="0076201F"/>
    <w:rsid w:val="0076221F"/>
    <w:rsid w:val="00762354"/>
    <w:rsid w:val="00762C70"/>
    <w:rsid w:val="00762F69"/>
    <w:rsid w:val="00763099"/>
    <w:rsid w:val="007631FB"/>
    <w:rsid w:val="0076348B"/>
    <w:rsid w:val="00763799"/>
    <w:rsid w:val="007637AE"/>
    <w:rsid w:val="007637B7"/>
    <w:rsid w:val="0076387D"/>
    <w:rsid w:val="00763A3E"/>
    <w:rsid w:val="00763B4E"/>
    <w:rsid w:val="00763DF1"/>
    <w:rsid w:val="00763E20"/>
    <w:rsid w:val="007641FC"/>
    <w:rsid w:val="0076444B"/>
    <w:rsid w:val="007646C3"/>
    <w:rsid w:val="0076471F"/>
    <w:rsid w:val="0076472E"/>
    <w:rsid w:val="00764A43"/>
    <w:rsid w:val="00764DC0"/>
    <w:rsid w:val="00764DF6"/>
    <w:rsid w:val="00764E79"/>
    <w:rsid w:val="0076514D"/>
    <w:rsid w:val="00765182"/>
    <w:rsid w:val="00765245"/>
    <w:rsid w:val="00765765"/>
    <w:rsid w:val="00765860"/>
    <w:rsid w:val="00765AE0"/>
    <w:rsid w:val="00765B7E"/>
    <w:rsid w:val="00765E37"/>
    <w:rsid w:val="00765F13"/>
    <w:rsid w:val="007662C8"/>
    <w:rsid w:val="0076660E"/>
    <w:rsid w:val="00766B59"/>
    <w:rsid w:val="00766B61"/>
    <w:rsid w:val="00766C24"/>
    <w:rsid w:val="00766D0D"/>
    <w:rsid w:val="00766D72"/>
    <w:rsid w:val="00766EA4"/>
    <w:rsid w:val="00766FF0"/>
    <w:rsid w:val="007671E6"/>
    <w:rsid w:val="00767695"/>
    <w:rsid w:val="00767D57"/>
    <w:rsid w:val="00767E03"/>
    <w:rsid w:val="00767E69"/>
    <w:rsid w:val="00767EF2"/>
    <w:rsid w:val="00767F1E"/>
    <w:rsid w:val="00767F6D"/>
    <w:rsid w:val="00770019"/>
    <w:rsid w:val="00770424"/>
    <w:rsid w:val="007704BB"/>
    <w:rsid w:val="00770E99"/>
    <w:rsid w:val="00770ED1"/>
    <w:rsid w:val="00770EDA"/>
    <w:rsid w:val="0077112F"/>
    <w:rsid w:val="00771299"/>
    <w:rsid w:val="00771493"/>
    <w:rsid w:val="00771564"/>
    <w:rsid w:val="00771746"/>
    <w:rsid w:val="00771C5F"/>
    <w:rsid w:val="00771FD1"/>
    <w:rsid w:val="0077267A"/>
    <w:rsid w:val="007726D7"/>
    <w:rsid w:val="00772A9F"/>
    <w:rsid w:val="00772F4B"/>
    <w:rsid w:val="007732C8"/>
    <w:rsid w:val="00773408"/>
    <w:rsid w:val="0077369C"/>
    <w:rsid w:val="007736BE"/>
    <w:rsid w:val="00773AF9"/>
    <w:rsid w:val="00773B78"/>
    <w:rsid w:val="00773CC6"/>
    <w:rsid w:val="00773CDD"/>
    <w:rsid w:val="00773F39"/>
    <w:rsid w:val="007746FF"/>
    <w:rsid w:val="00774A09"/>
    <w:rsid w:val="00774D7D"/>
    <w:rsid w:val="00774FF8"/>
    <w:rsid w:val="0077525F"/>
    <w:rsid w:val="0077531F"/>
    <w:rsid w:val="0077555A"/>
    <w:rsid w:val="00775B3D"/>
    <w:rsid w:val="007761E8"/>
    <w:rsid w:val="007761ED"/>
    <w:rsid w:val="00776295"/>
    <w:rsid w:val="0077648F"/>
    <w:rsid w:val="0077649C"/>
    <w:rsid w:val="007768AA"/>
    <w:rsid w:val="00776C06"/>
    <w:rsid w:val="00776C60"/>
    <w:rsid w:val="0077747E"/>
    <w:rsid w:val="00777AFC"/>
    <w:rsid w:val="00777FDF"/>
    <w:rsid w:val="0078002E"/>
    <w:rsid w:val="00780222"/>
    <w:rsid w:val="0078085B"/>
    <w:rsid w:val="00780C3F"/>
    <w:rsid w:val="00780D28"/>
    <w:rsid w:val="0078137A"/>
    <w:rsid w:val="00781815"/>
    <w:rsid w:val="007818A6"/>
    <w:rsid w:val="007818EC"/>
    <w:rsid w:val="00781909"/>
    <w:rsid w:val="00781B39"/>
    <w:rsid w:val="00781FCF"/>
    <w:rsid w:val="007821F1"/>
    <w:rsid w:val="00782481"/>
    <w:rsid w:val="007826BE"/>
    <w:rsid w:val="00782ACB"/>
    <w:rsid w:val="00782BA3"/>
    <w:rsid w:val="00782E93"/>
    <w:rsid w:val="007831C7"/>
    <w:rsid w:val="007833D1"/>
    <w:rsid w:val="00783563"/>
    <w:rsid w:val="007836AC"/>
    <w:rsid w:val="0078372B"/>
    <w:rsid w:val="00783771"/>
    <w:rsid w:val="007837C8"/>
    <w:rsid w:val="0078392D"/>
    <w:rsid w:val="007839AE"/>
    <w:rsid w:val="00783E02"/>
    <w:rsid w:val="007846B1"/>
    <w:rsid w:val="00784A9E"/>
    <w:rsid w:val="00784C77"/>
    <w:rsid w:val="00784D76"/>
    <w:rsid w:val="0078517E"/>
    <w:rsid w:val="0078549D"/>
    <w:rsid w:val="0078559E"/>
    <w:rsid w:val="00785625"/>
    <w:rsid w:val="00785749"/>
    <w:rsid w:val="00785A12"/>
    <w:rsid w:val="00785AA8"/>
    <w:rsid w:val="00785AE7"/>
    <w:rsid w:val="00785D68"/>
    <w:rsid w:val="00785F46"/>
    <w:rsid w:val="007861F3"/>
    <w:rsid w:val="007862F7"/>
    <w:rsid w:val="0078658F"/>
    <w:rsid w:val="00786746"/>
    <w:rsid w:val="00786866"/>
    <w:rsid w:val="00786909"/>
    <w:rsid w:val="00786A36"/>
    <w:rsid w:val="00786ABC"/>
    <w:rsid w:val="00786B2E"/>
    <w:rsid w:val="00786BA7"/>
    <w:rsid w:val="007871A4"/>
    <w:rsid w:val="00787349"/>
    <w:rsid w:val="007904EF"/>
    <w:rsid w:val="007905BB"/>
    <w:rsid w:val="007905C0"/>
    <w:rsid w:val="00790813"/>
    <w:rsid w:val="00790825"/>
    <w:rsid w:val="0079082E"/>
    <w:rsid w:val="0079093D"/>
    <w:rsid w:val="0079099C"/>
    <w:rsid w:val="00790D4F"/>
    <w:rsid w:val="0079100E"/>
    <w:rsid w:val="00791472"/>
    <w:rsid w:val="00791488"/>
    <w:rsid w:val="0079170C"/>
    <w:rsid w:val="007918A8"/>
    <w:rsid w:val="00791BD0"/>
    <w:rsid w:val="00791FFA"/>
    <w:rsid w:val="0079204A"/>
    <w:rsid w:val="007920B0"/>
    <w:rsid w:val="007927DA"/>
    <w:rsid w:val="007928C0"/>
    <w:rsid w:val="00792A5F"/>
    <w:rsid w:val="00792B19"/>
    <w:rsid w:val="0079332E"/>
    <w:rsid w:val="00793454"/>
    <w:rsid w:val="00793659"/>
    <w:rsid w:val="0079381F"/>
    <w:rsid w:val="00793834"/>
    <w:rsid w:val="00793A35"/>
    <w:rsid w:val="00793F37"/>
    <w:rsid w:val="00794757"/>
    <w:rsid w:val="00794896"/>
    <w:rsid w:val="00794CAC"/>
    <w:rsid w:val="00794F9B"/>
    <w:rsid w:val="007950C4"/>
    <w:rsid w:val="0079515E"/>
    <w:rsid w:val="007951AE"/>
    <w:rsid w:val="00795740"/>
    <w:rsid w:val="00795999"/>
    <w:rsid w:val="007959DE"/>
    <w:rsid w:val="00795AD0"/>
    <w:rsid w:val="00795AF8"/>
    <w:rsid w:val="00795B37"/>
    <w:rsid w:val="00795CFA"/>
    <w:rsid w:val="0079650B"/>
    <w:rsid w:val="00796713"/>
    <w:rsid w:val="00796A6B"/>
    <w:rsid w:val="00796BAA"/>
    <w:rsid w:val="00796D18"/>
    <w:rsid w:val="007971A2"/>
    <w:rsid w:val="00797480"/>
    <w:rsid w:val="007977DD"/>
    <w:rsid w:val="007978AA"/>
    <w:rsid w:val="00797AAD"/>
    <w:rsid w:val="00797BFB"/>
    <w:rsid w:val="00797D20"/>
    <w:rsid w:val="007A0633"/>
    <w:rsid w:val="007A097B"/>
    <w:rsid w:val="007A0A70"/>
    <w:rsid w:val="007A13F8"/>
    <w:rsid w:val="007A14C7"/>
    <w:rsid w:val="007A16E6"/>
    <w:rsid w:val="007A1915"/>
    <w:rsid w:val="007A196E"/>
    <w:rsid w:val="007A1C90"/>
    <w:rsid w:val="007A1E8E"/>
    <w:rsid w:val="007A1F6F"/>
    <w:rsid w:val="007A2148"/>
    <w:rsid w:val="007A21D7"/>
    <w:rsid w:val="007A23F3"/>
    <w:rsid w:val="007A2449"/>
    <w:rsid w:val="007A2734"/>
    <w:rsid w:val="007A2ADB"/>
    <w:rsid w:val="007A2D3D"/>
    <w:rsid w:val="007A30DA"/>
    <w:rsid w:val="007A324D"/>
    <w:rsid w:val="007A3570"/>
    <w:rsid w:val="007A3665"/>
    <w:rsid w:val="007A3D6C"/>
    <w:rsid w:val="007A3E06"/>
    <w:rsid w:val="007A3E6D"/>
    <w:rsid w:val="007A3F4A"/>
    <w:rsid w:val="007A429C"/>
    <w:rsid w:val="007A4384"/>
    <w:rsid w:val="007A4A26"/>
    <w:rsid w:val="007A4CBC"/>
    <w:rsid w:val="007A4E27"/>
    <w:rsid w:val="007A500B"/>
    <w:rsid w:val="007A5316"/>
    <w:rsid w:val="007A534D"/>
    <w:rsid w:val="007A59CE"/>
    <w:rsid w:val="007A5C3C"/>
    <w:rsid w:val="007A5CDA"/>
    <w:rsid w:val="007A5FD3"/>
    <w:rsid w:val="007A62A3"/>
    <w:rsid w:val="007A64FC"/>
    <w:rsid w:val="007A6663"/>
    <w:rsid w:val="007A6A0C"/>
    <w:rsid w:val="007A6B11"/>
    <w:rsid w:val="007A6B6A"/>
    <w:rsid w:val="007A6CB8"/>
    <w:rsid w:val="007A6D7E"/>
    <w:rsid w:val="007A73E7"/>
    <w:rsid w:val="007A7446"/>
    <w:rsid w:val="007A7611"/>
    <w:rsid w:val="007A7836"/>
    <w:rsid w:val="007A7841"/>
    <w:rsid w:val="007A7A85"/>
    <w:rsid w:val="007A7C45"/>
    <w:rsid w:val="007B0014"/>
    <w:rsid w:val="007B02E3"/>
    <w:rsid w:val="007B083A"/>
    <w:rsid w:val="007B083D"/>
    <w:rsid w:val="007B0990"/>
    <w:rsid w:val="007B0A7F"/>
    <w:rsid w:val="007B0AB1"/>
    <w:rsid w:val="007B10AE"/>
    <w:rsid w:val="007B15B1"/>
    <w:rsid w:val="007B193C"/>
    <w:rsid w:val="007B1E42"/>
    <w:rsid w:val="007B2210"/>
    <w:rsid w:val="007B227E"/>
    <w:rsid w:val="007B271B"/>
    <w:rsid w:val="007B2D41"/>
    <w:rsid w:val="007B3303"/>
    <w:rsid w:val="007B3388"/>
    <w:rsid w:val="007B380A"/>
    <w:rsid w:val="007B3811"/>
    <w:rsid w:val="007B3891"/>
    <w:rsid w:val="007B39A1"/>
    <w:rsid w:val="007B39BF"/>
    <w:rsid w:val="007B39DE"/>
    <w:rsid w:val="007B4168"/>
    <w:rsid w:val="007B4A95"/>
    <w:rsid w:val="007B4AA5"/>
    <w:rsid w:val="007B4AFE"/>
    <w:rsid w:val="007B4C98"/>
    <w:rsid w:val="007B4DC4"/>
    <w:rsid w:val="007B533B"/>
    <w:rsid w:val="007B578C"/>
    <w:rsid w:val="007B590B"/>
    <w:rsid w:val="007B5978"/>
    <w:rsid w:val="007B5B96"/>
    <w:rsid w:val="007B5D51"/>
    <w:rsid w:val="007B5F32"/>
    <w:rsid w:val="007B602F"/>
    <w:rsid w:val="007B63A7"/>
    <w:rsid w:val="007B6597"/>
    <w:rsid w:val="007B698A"/>
    <w:rsid w:val="007B6CE8"/>
    <w:rsid w:val="007B7205"/>
    <w:rsid w:val="007B79E0"/>
    <w:rsid w:val="007B7A84"/>
    <w:rsid w:val="007B7E09"/>
    <w:rsid w:val="007C026E"/>
    <w:rsid w:val="007C041C"/>
    <w:rsid w:val="007C067F"/>
    <w:rsid w:val="007C0834"/>
    <w:rsid w:val="007C09F0"/>
    <w:rsid w:val="007C0C12"/>
    <w:rsid w:val="007C0D90"/>
    <w:rsid w:val="007C0E00"/>
    <w:rsid w:val="007C1147"/>
    <w:rsid w:val="007C124E"/>
    <w:rsid w:val="007C13F6"/>
    <w:rsid w:val="007C1420"/>
    <w:rsid w:val="007C144D"/>
    <w:rsid w:val="007C14A5"/>
    <w:rsid w:val="007C197E"/>
    <w:rsid w:val="007C1A59"/>
    <w:rsid w:val="007C2017"/>
    <w:rsid w:val="007C2449"/>
    <w:rsid w:val="007C2567"/>
    <w:rsid w:val="007C25FB"/>
    <w:rsid w:val="007C285E"/>
    <w:rsid w:val="007C297C"/>
    <w:rsid w:val="007C2B61"/>
    <w:rsid w:val="007C2CB5"/>
    <w:rsid w:val="007C2DD7"/>
    <w:rsid w:val="007C3268"/>
    <w:rsid w:val="007C3422"/>
    <w:rsid w:val="007C345B"/>
    <w:rsid w:val="007C39CD"/>
    <w:rsid w:val="007C3B69"/>
    <w:rsid w:val="007C3C4D"/>
    <w:rsid w:val="007C3D8B"/>
    <w:rsid w:val="007C4082"/>
    <w:rsid w:val="007C446C"/>
    <w:rsid w:val="007C4545"/>
    <w:rsid w:val="007C4978"/>
    <w:rsid w:val="007C4D67"/>
    <w:rsid w:val="007C500C"/>
    <w:rsid w:val="007C50B3"/>
    <w:rsid w:val="007C5683"/>
    <w:rsid w:val="007C59A3"/>
    <w:rsid w:val="007C59EB"/>
    <w:rsid w:val="007C5DC8"/>
    <w:rsid w:val="007C5E60"/>
    <w:rsid w:val="007C5EA4"/>
    <w:rsid w:val="007C60C9"/>
    <w:rsid w:val="007C6101"/>
    <w:rsid w:val="007C610D"/>
    <w:rsid w:val="007C64F2"/>
    <w:rsid w:val="007C65C5"/>
    <w:rsid w:val="007C6692"/>
    <w:rsid w:val="007C68FB"/>
    <w:rsid w:val="007C6A68"/>
    <w:rsid w:val="007C6B4B"/>
    <w:rsid w:val="007C6D31"/>
    <w:rsid w:val="007C6D7F"/>
    <w:rsid w:val="007C723E"/>
    <w:rsid w:val="007C76BA"/>
    <w:rsid w:val="007C790F"/>
    <w:rsid w:val="007C79C1"/>
    <w:rsid w:val="007C7D21"/>
    <w:rsid w:val="007C7D7C"/>
    <w:rsid w:val="007C7DF2"/>
    <w:rsid w:val="007C7E44"/>
    <w:rsid w:val="007D0070"/>
    <w:rsid w:val="007D071C"/>
    <w:rsid w:val="007D07B5"/>
    <w:rsid w:val="007D0863"/>
    <w:rsid w:val="007D0925"/>
    <w:rsid w:val="007D0A4C"/>
    <w:rsid w:val="007D0B68"/>
    <w:rsid w:val="007D0D95"/>
    <w:rsid w:val="007D0EB6"/>
    <w:rsid w:val="007D0EE0"/>
    <w:rsid w:val="007D10BE"/>
    <w:rsid w:val="007D156A"/>
    <w:rsid w:val="007D16BF"/>
    <w:rsid w:val="007D1784"/>
    <w:rsid w:val="007D1A75"/>
    <w:rsid w:val="007D1BAF"/>
    <w:rsid w:val="007D239A"/>
    <w:rsid w:val="007D2906"/>
    <w:rsid w:val="007D2A2B"/>
    <w:rsid w:val="007D2A5A"/>
    <w:rsid w:val="007D2A65"/>
    <w:rsid w:val="007D2B40"/>
    <w:rsid w:val="007D2F6F"/>
    <w:rsid w:val="007D3055"/>
    <w:rsid w:val="007D3132"/>
    <w:rsid w:val="007D3191"/>
    <w:rsid w:val="007D31DE"/>
    <w:rsid w:val="007D31F3"/>
    <w:rsid w:val="007D3884"/>
    <w:rsid w:val="007D39CA"/>
    <w:rsid w:val="007D3A8F"/>
    <w:rsid w:val="007D3BAA"/>
    <w:rsid w:val="007D3D9C"/>
    <w:rsid w:val="007D3F05"/>
    <w:rsid w:val="007D3F1F"/>
    <w:rsid w:val="007D4055"/>
    <w:rsid w:val="007D415B"/>
    <w:rsid w:val="007D425B"/>
    <w:rsid w:val="007D4369"/>
    <w:rsid w:val="007D449C"/>
    <w:rsid w:val="007D4A3E"/>
    <w:rsid w:val="007D4C89"/>
    <w:rsid w:val="007D4DB2"/>
    <w:rsid w:val="007D4E7D"/>
    <w:rsid w:val="007D4FC0"/>
    <w:rsid w:val="007D50C1"/>
    <w:rsid w:val="007D51E0"/>
    <w:rsid w:val="007D5373"/>
    <w:rsid w:val="007D5508"/>
    <w:rsid w:val="007D5590"/>
    <w:rsid w:val="007D55E6"/>
    <w:rsid w:val="007D5657"/>
    <w:rsid w:val="007D5952"/>
    <w:rsid w:val="007D5AAC"/>
    <w:rsid w:val="007D5C3B"/>
    <w:rsid w:val="007D5C8A"/>
    <w:rsid w:val="007D5D15"/>
    <w:rsid w:val="007D615D"/>
    <w:rsid w:val="007D63CD"/>
    <w:rsid w:val="007D6582"/>
    <w:rsid w:val="007D6785"/>
    <w:rsid w:val="007D687B"/>
    <w:rsid w:val="007D69D4"/>
    <w:rsid w:val="007D72BC"/>
    <w:rsid w:val="007D7456"/>
    <w:rsid w:val="007D7473"/>
    <w:rsid w:val="007D7615"/>
    <w:rsid w:val="007D796F"/>
    <w:rsid w:val="007D7AC0"/>
    <w:rsid w:val="007D7D47"/>
    <w:rsid w:val="007D7E31"/>
    <w:rsid w:val="007E0041"/>
    <w:rsid w:val="007E013F"/>
    <w:rsid w:val="007E0436"/>
    <w:rsid w:val="007E046F"/>
    <w:rsid w:val="007E0504"/>
    <w:rsid w:val="007E0516"/>
    <w:rsid w:val="007E07DE"/>
    <w:rsid w:val="007E09B5"/>
    <w:rsid w:val="007E0C4B"/>
    <w:rsid w:val="007E0CD3"/>
    <w:rsid w:val="007E0DFF"/>
    <w:rsid w:val="007E1636"/>
    <w:rsid w:val="007E17AC"/>
    <w:rsid w:val="007E17E7"/>
    <w:rsid w:val="007E19EE"/>
    <w:rsid w:val="007E1B97"/>
    <w:rsid w:val="007E1BF5"/>
    <w:rsid w:val="007E1C0E"/>
    <w:rsid w:val="007E1DCD"/>
    <w:rsid w:val="007E2020"/>
    <w:rsid w:val="007E208F"/>
    <w:rsid w:val="007E230E"/>
    <w:rsid w:val="007E23DB"/>
    <w:rsid w:val="007E24CB"/>
    <w:rsid w:val="007E2C94"/>
    <w:rsid w:val="007E2CE6"/>
    <w:rsid w:val="007E2DE9"/>
    <w:rsid w:val="007E2E9E"/>
    <w:rsid w:val="007E3106"/>
    <w:rsid w:val="007E31FE"/>
    <w:rsid w:val="007E33DF"/>
    <w:rsid w:val="007E355F"/>
    <w:rsid w:val="007E3745"/>
    <w:rsid w:val="007E37C8"/>
    <w:rsid w:val="007E3A13"/>
    <w:rsid w:val="007E3F7F"/>
    <w:rsid w:val="007E43BD"/>
    <w:rsid w:val="007E4934"/>
    <w:rsid w:val="007E4988"/>
    <w:rsid w:val="007E49F0"/>
    <w:rsid w:val="007E4A29"/>
    <w:rsid w:val="007E4BEE"/>
    <w:rsid w:val="007E4D60"/>
    <w:rsid w:val="007E520F"/>
    <w:rsid w:val="007E57B8"/>
    <w:rsid w:val="007E5890"/>
    <w:rsid w:val="007E5960"/>
    <w:rsid w:val="007E5AF0"/>
    <w:rsid w:val="007E6001"/>
    <w:rsid w:val="007E6034"/>
    <w:rsid w:val="007E6172"/>
    <w:rsid w:val="007E6497"/>
    <w:rsid w:val="007E6A1A"/>
    <w:rsid w:val="007E6AB0"/>
    <w:rsid w:val="007E6DBB"/>
    <w:rsid w:val="007E6FE5"/>
    <w:rsid w:val="007E732F"/>
    <w:rsid w:val="007E7640"/>
    <w:rsid w:val="007E76BB"/>
    <w:rsid w:val="007E7773"/>
    <w:rsid w:val="007E78D1"/>
    <w:rsid w:val="007E7BAE"/>
    <w:rsid w:val="007E7F0A"/>
    <w:rsid w:val="007F028F"/>
    <w:rsid w:val="007F02B9"/>
    <w:rsid w:val="007F033A"/>
    <w:rsid w:val="007F03A9"/>
    <w:rsid w:val="007F0884"/>
    <w:rsid w:val="007F08E4"/>
    <w:rsid w:val="007F0B38"/>
    <w:rsid w:val="007F0C39"/>
    <w:rsid w:val="007F1B91"/>
    <w:rsid w:val="007F2449"/>
    <w:rsid w:val="007F267C"/>
    <w:rsid w:val="007F283A"/>
    <w:rsid w:val="007F2ACE"/>
    <w:rsid w:val="007F2B05"/>
    <w:rsid w:val="007F2D44"/>
    <w:rsid w:val="007F2EB9"/>
    <w:rsid w:val="007F2FE5"/>
    <w:rsid w:val="007F320B"/>
    <w:rsid w:val="007F37D8"/>
    <w:rsid w:val="007F3A26"/>
    <w:rsid w:val="007F3B96"/>
    <w:rsid w:val="007F3F24"/>
    <w:rsid w:val="007F42EA"/>
    <w:rsid w:val="007F431D"/>
    <w:rsid w:val="007F438E"/>
    <w:rsid w:val="007F4531"/>
    <w:rsid w:val="007F4807"/>
    <w:rsid w:val="007F4A66"/>
    <w:rsid w:val="007F4BBB"/>
    <w:rsid w:val="007F4CC8"/>
    <w:rsid w:val="007F5312"/>
    <w:rsid w:val="007F5C0B"/>
    <w:rsid w:val="007F5D31"/>
    <w:rsid w:val="007F5DAD"/>
    <w:rsid w:val="007F62E8"/>
    <w:rsid w:val="007F62EA"/>
    <w:rsid w:val="007F634F"/>
    <w:rsid w:val="007F6383"/>
    <w:rsid w:val="007F6403"/>
    <w:rsid w:val="007F64F9"/>
    <w:rsid w:val="007F6510"/>
    <w:rsid w:val="007F668D"/>
    <w:rsid w:val="007F6ACF"/>
    <w:rsid w:val="007F6BD5"/>
    <w:rsid w:val="007F6E7D"/>
    <w:rsid w:val="007F753A"/>
    <w:rsid w:val="007F7635"/>
    <w:rsid w:val="007F7671"/>
    <w:rsid w:val="007F78F9"/>
    <w:rsid w:val="007F7929"/>
    <w:rsid w:val="007F7C38"/>
    <w:rsid w:val="007F7DF1"/>
    <w:rsid w:val="00800126"/>
    <w:rsid w:val="008001ED"/>
    <w:rsid w:val="00800B86"/>
    <w:rsid w:val="00800CD8"/>
    <w:rsid w:val="008010BC"/>
    <w:rsid w:val="0080131F"/>
    <w:rsid w:val="00801C37"/>
    <w:rsid w:val="00801C6A"/>
    <w:rsid w:val="00801F8D"/>
    <w:rsid w:val="008020A7"/>
    <w:rsid w:val="0080210D"/>
    <w:rsid w:val="00802211"/>
    <w:rsid w:val="008025D9"/>
    <w:rsid w:val="0080262F"/>
    <w:rsid w:val="00802645"/>
    <w:rsid w:val="0080286B"/>
    <w:rsid w:val="008028BE"/>
    <w:rsid w:val="00802A5C"/>
    <w:rsid w:val="00802E50"/>
    <w:rsid w:val="00803091"/>
    <w:rsid w:val="008031DC"/>
    <w:rsid w:val="00803297"/>
    <w:rsid w:val="008032D2"/>
    <w:rsid w:val="0080337B"/>
    <w:rsid w:val="00803757"/>
    <w:rsid w:val="00803966"/>
    <w:rsid w:val="00803A64"/>
    <w:rsid w:val="00803BCC"/>
    <w:rsid w:val="00803D36"/>
    <w:rsid w:val="008045FF"/>
    <w:rsid w:val="008049F5"/>
    <w:rsid w:val="00804B10"/>
    <w:rsid w:val="00804B2B"/>
    <w:rsid w:val="00804D3E"/>
    <w:rsid w:val="008051F2"/>
    <w:rsid w:val="00805DF9"/>
    <w:rsid w:val="00805E17"/>
    <w:rsid w:val="00805E27"/>
    <w:rsid w:val="0080621C"/>
    <w:rsid w:val="00806348"/>
    <w:rsid w:val="00806771"/>
    <w:rsid w:val="00806869"/>
    <w:rsid w:val="00806948"/>
    <w:rsid w:val="00806DFB"/>
    <w:rsid w:val="0080713B"/>
    <w:rsid w:val="008074A0"/>
    <w:rsid w:val="00807568"/>
    <w:rsid w:val="008078FA"/>
    <w:rsid w:val="00807981"/>
    <w:rsid w:val="00807BA4"/>
    <w:rsid w:val="00807C87"/>
    <w:rsid w:val="00810311"/>
    <w:rsid w:val="008104A5"/>
    <w:rsid w:val="0081054C"/>
    <w:rsid w:val="00810720"/>
    <w:rsid w:val="00810B8F"/>
    <w:rsid w:val="00810C85"/>
    <w:rsid w:val="00810DB6"/>
    <w:rsid w:val="00810E2D"/>
    <w:rsid w:val="00810EAC"/>
    <w:rsid w:val="00811075"/>
    <w:rsid w:val="008110BF"/>
    <w:rsid w:val="0081137D"/>
    <w:rsid w:val="0081152B"/>
    <w:rsid w:val="008115B8"/>
    <w:rsid w:val="008116D8"/>
    <w:rsid w:val="00811B67"/>
    <w:rsid w:val="00811C5A"/>
    <w:rsid w:val="00811D14"/>
    <w:rsid w:val="00811F1A"/>
    <w:rsid w:val="0081218C"/>
    <w:rsid w:val="00812414"/>
    <w:rsid w:val="00812C15"/>
    <w:rsid w:val="008130A2"/>
    <w:rsid w:val="00813343"/>
    <w:rsid w:val="0081337A"/>
    <w:rsid w:val="0081338E"/>
    <w:rsid w:val="008135D8"/>
    <w:rsid w:val="00813860"/>
    <w:rsid w:val="00813909"/>
    <w:rsid w:val="00813C2A"/>
    <w:rsid w:val="008142C7"/>
    <w:rsid w:val="0081467C"/>
    <w:rsid w:val="00814A3F"/>
    <w:rsid w:val="00814CC3"/>
    <w:rsid w:val="00814DEC"/>
    <w:rsid w:val="00814F85"/>
    <w:rsid w:val="00815504"/>
    <w:rsid w:val="00815A31"/>
    <w:rsid w:val="00815EB8"/>
    <w:rsid w:val="00815F03"/>
    <w:rsid w:val="00815F54"/>
    <w:rsid w:val="00815FFF"/>
    <w:rsid w:val="00816210"/>
    <w:rsid w:val="00816224"/>
    <w:rsid w:val="0081637B"/>
    <w:rsid w:val="00816571"/>
    <w:rsid w:val="00816590"/>
    <w:rsid w:val="00816B6F"/>
    <w:rsid w:val="00816C80"/>
    <w:rsid w:val="00816DBE"/>
    <w:rsid w:val="00816E59"/>
    <w:rsid w:val="00816E61"/>
    <w:rsid w:val="00816EFF"/>
    <w:rsid w:val="00817154"/>
    <w:rsid w:val="00817394"/>
    <w:rsid w:val="008175EE"/>
    <w:rsid w:val="00817983"/>
    <w:rsid w:val="00817AD9"/>
    <w:rsid w:val="00817BAF"/>
    <w:rsid w:val="00817F80"/>
    <w:rsid w:val="00817FD6"/>
    <w:rsid w:val="00820001"/>
    <w:rsid w:val="00820183"/>
    <w:rsid w:val="00820B32"/>
    <w:rsid w:val="00820C79"/>
    <w:rsid w:val="00820CFD"/>
    <w:rsid w:val="00820F29"/>
    <w:rsid w:val="00820FA8"/>
    <w:rsid w:val="0082144B"/>
    <w:rsid w:val="0082185E"/>
    <w:rsid w:val="00821F39"/>
    <w:rsid w:val="00822144"/>
    <w:rsid w:val="0082220A"/>
    <w:rsid w:val="0082235F"/>
    <w:rsid w:val="008224E4"/>
    <w:rsid w:val="00822582"/>
    <w:rsid w:val="0082284B"/>
    <w:rsid w:val="00822861"/>
    <w:rsid w:val="00822A3A"/>
    <w:rsid w:val="00822C24"/>
    <w:rsid w:val="00823776"/>
    <w:rsid w:val="008237E4"/>
    <w:rsid w:val="008238F1"/>
    <w:rsid w:val="0082398B"/>
    <w:rsid w:val="008239EE"/>
    <w:rsid w:val="00823C4B"/>
    <w:rsid w:val="00824054"/>
    <w:rsid w:val="008244CC"/>
    <w:rsid w:val="008246DA"/>
    <w:rsid w:val="00824D6F"/>
    <w:rsid w:val="00824F37"/>
    <w:rsid w:val="00825197"/>
    <w:rsid w:val="0082599D"/>
    <w:rsid w:val="00825C5D"/>
    <w:rsid w:val="008262AB"/>
    <w:rsid w:val="0082636F"/>
    <w:rsid w:val="008263C6"/>
    <w:rsid w:val="00826587"/>
    <w:rsid w:val="0082688D"/>
    <w:rsid w:val="00826A82"/>
    <w:rsid w:val="00826A9A"/>
    <w:rsid w:val="00826DA9"/>
    <w:rsid w:val="00826ED6"/>
    <w:rsid w:val="00826F09"/>
    <w:rsid w:val="0082721C"/>
    <w:rsid w:val="0082757F"/>
    <w:rsid w:val="008278EA"/>
    <w:rsid w:val="008278F6"/>
    <w:rsid w:val="008300B5"/>
    <w:rsid w:val="0083014F"/>
    <w:rsid w:val="008301E8"/>
    <w:rsid w:val="00830324"/>
    <w:rsid w:val="00830331"/>
    <w:rsid w:val="0083049F"/>
    <w:rsid w:val="0083051D"/>
    <w:rsid w:val="008306DF"/>
    <w:rsid w:val="00830775"/>
    <w:rsid w:val="00830967"/>
    <w:rsid w:val="008309A0"/>
    <w:rsid w:val="00830E58"/>
    <w:rsid w:val="00831151"/>
    <w:rsid w:val="00831295"/>
    <w:rsid w:val="00831438"/>
    <w:rsid w:val="0083145D"/>
    <w:rsid w:val="008315A0"/>
    <w:rsid w:val="00831980"/>
    <w:rsid w:val="00831FC6"/>
    <w:rsid w:val="008321CC"/>
    <w:rsid w:val="008323A0"/>
    <w:rsid w:val="008324F9"/>
    <w:rsid w:val="008329BD"/>
    <w:rsid w:val="00832BE9"/>
    <w:rsid w:val="00832D54"/>
    <w:rsid w:val="00832FC9"/>
    <w:rsid w:val="00833117"/>
    <w:rsid w:val="00833213"/>
    <w:rsid w:val="00833429"/>
    <w:rsid w:val="0083346C"/>
    <w:rsid w:val="008336E1"/>
    <w:rsid w:val="0083378C"/>
    <w:rsid w:val="0083390F"/>
    <w:rsid w:val="00833ADA"/>
    <w:rsid w:val="00833E14"/>
    <w:rsid w:val="00833E73"/>
    <w:rsid w:val="00833ED3"/>
    <w:rsid w:val="00834038"/>
    <w:rsid w:val="00834130"/>
    <w:rsid w:val="00834346"/>
    <w:rsid w:val="00834B41"/>
    <w:rsid w:val="00834B84"/>
    <w:rsid w:val="00835214"/>
    <w:rsid w:val="00835526"/>
    <w:rsid w:val="00835786"/>
    <w:rsid w:val="0083578F"/>
    <w:rsid w:val="008358EE"/>
    <w:rsid w:val="00835984"/>
    <w:rsid w:val="00835A8E"/>
    <w:rsid w:val="00835AAF"/>
    <w:rsid w:val="00835ADD"/>
    <w:rsid w:val="00835BA2"/>
    <w:rsid w:val="00835C43"/>
    <w:rsid w:val="00835CC4"/>
    <w:rsid w:val="00835CDB"/>
    <w:rsid w:val="00835ED8"/>
    <w:rsid w:val="008363B0"/>
    <w:rsid w:val="008363D3"/>
    <w:rsid w:val="00836517"/>
    <w:rsid w:val="008366A3"/>
    <w:rsid w:val="00836AC6"/>
    <w:rsid w:val="00837579"/>
    <w:rsid w:val="00837580"/>
    <w:rsid w:val="00837C01"/>
    <w:rsid w:val="00837E97"/>
    <w:rsid w:val="008403E8"/>
    <w:rsid w:val="008405DC"/>
    <w:rsid w:val="0084072A"/>
    <w:rsid w:val="008407FC"/>
    <w:rsid w:val="008409CA"/>
    <w:rsid w:val="00840F8C"/>
    <w:rsid w:val="008410C7"/>
    <w:rsid w:val="008410D2"/>
    <w:rsid w:val="0084125F"/>
    <w:rsid w:val="0084156D"/>
    <w:rsid w:val="008417DD"/>
    <w:rsid w:val="00841C1E"/>
    <w:rsid w:val="00841CEC"/>
    <w:rsid w:val="008422C9"/>
    <w:rsid w:val="008423A3"/>
    <w:rsid w:val="00842675"/>
    <w:rsid w:val="008427F1"/>
    <w:rsid w:val="00842A1E"/>
    <w:rsid w:val="00842AF4"/>
    <w:rsid w:val="00842D48"/>
    <w:rsid w:val="0084307D"/>
    <w:rsid w:val="0084342A"/>
    <w:rsid w:val="00843431"/>
    <w:rsid w:val="008436B7"/>
    <w:rsid w:val="0084380E"/>
    <w:rsid w:val="0084382B"/>
    <w:rsid w:val="0084383E"/>
    <w:rsid w:val="00843844"/>
    <w:rsid w:val="00843902"/>
    <w:rsid w:val="00843B31"/>
    <w:rsid w:val="00843C88"/>
    <w:rsid w:val="00843E11"/>
    <w:rsid w:val="00843F91"/>
    <w:rsid w:val="00843FDB"/>
    <w:rsid w:val="0084424D"/>
    <w:rsid w:val="00844449"/>
    <w:rsid w:val="008444E2"/>
    <w:rsid w:val="00844A99"/>
    <w:rsid w:val="00844E04"/>
    <w:rsid w:val="00844EFE"/>
    <w:rsid w:val="0084503F"/>
    <w:rsid w:val="0084531D"/>
    <w:rsid w:val="0084541C"/>
    <w:rsid w:val="008454FC"/>
    <w:rsid w:val="00845585"/>
    <w:rsid w:val="0084558D"/>
    <w:rsid w:val="00845911"/>
    <w:rsid w:val="00845EF6"/>
    <w:rsid w:val="008461B0"/>
    <w:rsid w:val="008461F7"/>
    <w:rsid w:val="008465B0"/>
    <w:rsid w:val="00846694"/>
    <w:rsid w:val="00846B6E"/>
    <w:rsid w:val="00846FF7"/>
    <w:rsid w:val="00847157"/>
    <w:rsid w:val="0084722C"/>
    <w:rsid w:val="008472C5"/>
    <w:rsid w:val="0084763F"/>
    <w:rsid w:val="00847770"/>
    <w:rsid w:val="00847990"/>
    <w:rsid w:val="00847A07"/>
    <w:rsid w:val="00847F17"/>
    <w:rsid w:val="00847F7B"/>
    <w:rsid w:val="00850295"/>
    <w:rsid w:val="008504A5"/>
    <w:rsid w:val="00850672"/>
    <w:rsid w:val="00850EFB"/>
    <w:rsid w:val="008510C0"/>
    <w:rsid w:val="00851177"/>
    <w:rsid w:val="0085117A"/>
    <w:rsid w:val="008511B3"/>
    <w:rsid w:val="00851A8C"/>
    <w:rsid w:val="00851ACE"/>
    <w:rsid w:val="00851BE2"/>
    <w:rsid w:val="00851D24"/>
    <w:rsid w:val="00851EC8"/>
    <w:rsid w:val="008524F1"/>
    <w:rsid w:val="0085292A"/>
    <w:rsid w:val="00852934"/>
    <w:rsid w:val="0085295D"/>
    <w:rsid w:val="00852D69"/>
    <w:rsid w:val="00853EFA"/>
    <w:rsid w:val="00853F8B"/>
    <w:rsid w:val="00854118"/>
    <w:rsid w:val="00854223"/>
    <w:rsid w:val="0085435E"/>
    <w:rsid w:val="008545FF"/>
    <w:rsid w:val="008548AE"/>
    <w:rsid w:val="008548DC"/>
    <w:rsid w:val="00854CD6"/>
    <w:rsid w:val="00854CD8"/>
    <w:rsid w:val="00854E43"/>
    <w:rsid w:val="00854F2D"/>
    <w:rsid w:val="00854FF8"/>
    <w:rsid w:val="0085506B"/>
    <w:rsid w:val="008550B6"/>
    <w:rsid w:val="008550FA"/>
    <w:rsid w:val="00855396"/>
    <w:rsid w:val="00855484"/>
    <w:rsid w:val="00855667"/>
    <w:rsid w:val="00856588"/>
    <w:rsid w:val="00856AE9"/>
    <w:rsid w:val="00856DC0"/>
    <w:rsid w:val="0085722B"/>
    <w:rsid w:val="008573CC"/>
    <w:rsid w:val="00857473"/>
    <w:rsid w:val="008575C3"/>
    <w:rsid w:val="00857655"/>
    <w:rsid w:val="00857767"/>
    <w:rsid w:val="00857864"/>
    <w:rsid w:val="008579B5"/>
    <w:rsid w:val="00857A6D"/>
    <w:rsid w:val="00857FD0"/>
    <w:rsid w:val="0086021C"/>
    <w:rsid w:val="00860530"/>
    <w:rsid w:val="008609E0"/>
    <w:rsid w:val="00860AB9"/>
    <w:rsid w:val="00860CB9"/>
    <w:rsid w:val="00860D0C"/>
    <w:rsid w:val="00860E03"/>
    <w:rsid w:val="0086147C"/>
    <w:rsid w:val="008615C2"/>
    <w:rsid w:val="008617AE"/>
    <w:rsid w:val="00861BC0"/>
    <w:rsid w:val="00861C60"/>
    <w:rsid w:val="00861CFA"/>
    <w:rsid w:val="00861DDE"/>
    <w:rsid w:val="00862197"/>
    <w:rsid w:val="0086267F"/>
    <w:rsid w:val="00862D66"/>
    <w:rsid w:val="008630D4"/>
    <w:rsid w:val="0086346D"/>
    <w:rsid w:val="0086379D"/>
    <w:rsid w:val="00863A40"/>
    <w:rsid w:val="00864052"/>
    <w:rsid w:val="0086407A"/>
    <w:rsid w:val="00864207"/>
    <w:rsid w:val="0086429B"/>
    <w:rsid w:val="008649CA"/>
    <w:rsid w:val="00864ADD"/>
    <w:rsid w:val="00864CE1"/>
    <w:rsid w:val="00864D83"/>
    <w:rsid w:val="0086536C"/>
    <w:rsid w:val="008654DD"/>
    <w:rsid w:val="00865500"/>
    <w:rsid w:val="0086582C"/>
    <w:rsid w:val="0086591A"/>
    <w:rsid w:val="00865942"/>
    <w:rsid w:val="00865BE7"/>
    <w:rsid w:val="008666A2"/>
    <w:rsid w:val="0086694C"/>
    <w:rsid w:val="00866B76"/>
    <w:rsid w:val="00866BC2"/>
    <w:rsid w:val="00866C21"/>
    <w:rsid w:val="00866D08"/>
    <w:rsid w:val="00866E78"/>
    <w:rsid w:val="00866E96"/>
    <w:rsid w:val="00867088"/>
    <w:rsid w:val="00867264"/>
    <w:rsid w:val="00867475"/>
    <w:rsid w:val="00867592"/>
    <w:rsid w:val="00867618"/>
    <w:rsid w:val="00867909"/>
    <w:rsid w:val="00867B34"/>
    <w:rsid w:val="00867D3C"/>
    <w:rsid w:val="00867E1A"/>
    <w:rsid w:val="008701BE"/>
    <w:rsid w:val="00870211"/>
    <w:rsid w:val="008702E6"/>
    <w:rsid w:val="00870750"/>
    <w:rsid w:val="00870825"/>
    <w:rsid w:val="00870841"/>
    <w:rsid w:val="00870872"/>
    <w:rsid w:val="00870947"/>
    <w:rsid w:val="00870C28"/>
    <w:rsid w:val="00870E12"/>
    <w:rsid w:val="008712B7"/>
    <w:rsid w:val="008713BB"/>
    <w:rsid w:val="00871521"/>
    <w:rsid w:val="00871B9B"/>
    <w:rsid w:val="008722E6"/>
    <w:rsid w:val="00872358"/>
    <w:rsid w:val="008725D7"/>
    <w:rsid w:val="008726E0"/>
    <w:rsid w:val="0087274B"/>
    <w:rsid w:val="00872F9F"/>
    <w:rsid w:val="00873056"/>
    <w:rsid w:val="008733AC"/>
    <w:rsid w:val="008734B7"/>
    <w:rsid w:val="00873766"/>
    <w:rsid w:val="008738AF"/>
    <w:rsid w:val="00873962"/>
    <w:rsid w:val="008740C0"/>
    <w:rsid w:val="008742DD"/>
    <w:rsid w:val="008743F1"/>
    <w:rsid w:val="00874A61"/>
    <w:rsid w:val="00874CE3"/>
    <w:rsid w:val="00875000"/>
    <w:rsid w:val="008750B1"/>
    <w:rsid w:val="008755A2"/>
    <w:rsid w:val="008755D1"/>
    <w:rsid w:val="00875675"/>
    <w:rsid w:val="008760C2"/>
    <w:rsid w:val="008760F0"/>
    <w:rsid w:val="0087664E"/>
    <w:rsid w:val="008766AF"/>
    <w:rsid w:val="0087679A"/>
    <w:rsid w:val="00876B11"/>
    <w:rsid w:val="00876C40"/>
    <w:rsid w:val="00876E24"/>
    <w:rsid w:val="00876EC8"/>
    <w:rsid w:val="00876EE9"/>
    <w:rsid w:val="00876EF9"/>
    <w:rsid w:val="00877387"/>
    <w:rsid w:val="0087772F"/>
    <w:rsid w:val="00877AC2"/>
    <w:rsid w:val="00877B36"/>
    <w:rsid w:val="008800A8"/>
    <w:rsid w:val="008803AA"/>
    <w:rsid w:val="00880B72"/>
    <w:rsid w:val="00881066"/>
    <w:rsid w:val="00881412"/>
    <w:rsid w:val="00881722"/>
    <w:rsid w:val="00881865"/>
    <w:rsid w:val="00881C7F"/>
    <w:rsid w:val="008822A8"/>
    <w:rsid w:val="00882507"/>
    <w:rsid w:val="00882745"/>
    <w:rsid w:val="00882A77"/>
    <w:rsid w:val="00882A7A"/>
    <w:rsid w:val="00882BBE"/>
    <w:rsid w:val="00882BFB"/>
    <w:rsid w:val="00882C6A"/>
    <w:rsid w:val="00882CAA"/>
    <w:rsid w:val="0088331A"/>
    <w:rsid w:val="0088334C"/>
    <w:rsid w:val="00883714"/>
    <w:rsid w:val="00883728"/>
    <w:rsid w:val="0088373B"/>
    <w:rsid w:val="00883B6D"/>
    <w:rsid w:val="00883E90"/>
    <w:rsid w:val="008840A0"/>
    <w:rsid w:val="00884241"/>
    <w:rsid w:val="008842B5"/>
    <w:rsid w:val="008845E8"/>
    <w:rsid w:val="008846BB"/>
    <w:rsid w:val="00884837"/>
    <w:rsid w:val="00884973"/>
    <w:rsid w:val="00884B93"/>
    <w:rsid w:val="00884DA3"/>
    <w:rsid w:val="00884DC7"/>
    <w:rsid w:val="00885A1D"/>
    <w:rsid w:val="00885A59"/>
    <w:rsid w:val="00885A68"/>
    <w:rsid w:val="00886636"/>
    <w:rsid w:val="0088676B"/>
    <w:rsid w:val="008867F2"/>
    <w:rsid w:val="00886B59"/>
    <w:rsid w:val="00886E72"/>
    <w:rsid w:val="00886ED9"/>
    <w:rsid w:val="008873DF"/>
    <w:rsid w:val="008877AC"/>
    <w:rsid w:val="00887966"/>
    <w:rsid w:val="00887BA4"/>
    <w:rsid w:val="008902C6"/>
    <w:rsid w:val="00890B17"/>
    <w:rsid w:val="008916AD"/>
    <w:rsid w:val="00891762"/>
    <w:rsid w:val="0089181C"/>
    <w:rsid w:val="00891BB1"/>
    <w:rsid w:val="0089215F"/>
    <w:rsid w:val="00892262"/>
    <w:rsid w:val="008922F1"/>
    <w:rsid w:val="00892386"/>
    <w:rsid w:val="008926F0"/>
    <w:rsid w:val="00892AC2"/>
    <w:rsid w:val="00892BCE"/>
    <w:rsid w:val="008932FD"/>
    <w:rsid w:val="0089355E"/>
    <w:rsid w:val="0089356D"/>
    <w:rsid w:val="008935E9"/>
    <w:rsid w:val="008936D8"/>
    <w:rsid w:val="00893B05"/>
    <w:rsid w:val="008940FC"/>
    <w:rsid w:val="008945F4"/>
    <w:rsid w:val="00894647"/>
    <w:rsid w:val="008946AF"/>
    <w:rsid w:val="008947A8"/>
    <w:rsid w:val="00894855"/>
    <w:rsid w:val="00894DBE"/>
    <w:rsid w:val="00894FD7"/>
    <w:rsid w:val="00895506"/>
    <w:rsid w:val="0089555C"/>
    <w:rsid w:val="00895E94"/>
    <w:rsid w:val="008965AC"/>
    <w:rsid w:val="008966A6"/>
    <w:rsid w:val="00896864"/>
    <w:rsid w:val="00896A08"/>
    <w:rsid w:val="00896C9B"/>
    <w:rsid w:val="00896CEE"/>
    <w:rsid w:val="00896D87"/>
    <w:rsid w:val="008970A3"/>
    <w:rsid w:val="0089712C"/>
    <w:rsid w:val="008977F4"/>
    <w:rsid w:val="00897B1C"/>
    <w:rsid w:val="00897B65"/>
    <w:rsid w:val="00897C38"/>
    <w:rsid w:val="00897C63"/>
    <w:rsid w:val="008A014D"/>
    <w:rsid w:val="008A01DF"/>
    <w:rsid w:val="008A038F"/>
    <w:rsid w:val="008A04B4"/>
    <w:rsid w:val="008A0626"/>
    <w:rsid w:val="008A068A"/>
    <w:rsid w:val="008A087F"/>
    <w:rsid w:val="008A0B77"/>
    <w:rsid w:val="008A0CAA"/>
    <w:rsid w:val="008A0CE5"/>
    <w:rsid w:val="008A1219"/>
    <w:rsid w:val="008A12F4"/>
    <w:rsid w:val="008A137C"/>
    <w:rsid w:val="008A1394"/>
    <w:rsid w:val="008A1589"/>
    <w:rsid w:val="008A1C4C"/>
    <w:rsid w:val="008A1D72"/>
    <w:rsid w:val="008A1FF8"/>
    <w:rsid w:val="008A2065"/>
    <w:rsid w:val="008A232C"/>
    <w:rsid w:val="008A2688"/>
    <w:rsid w:val="008A27A5"/>
    <w:rsid w:val="008A29A5"/>
    <w:rsid w:val="008A2A3E"/>
    <w:rsid w:val="008A2A84"/>
    <w:rsid w:val="008A2B6C"/>
    <w:rsid w:val="008A2BF6"/>
    <w:rsid w:val="008A2C0F"/>
    <w:rsid w:val="008A2CD0"/>
    <w:rsid w:val="008A2D3B"/>
    <w:rsid w:val="008A2E25"/>
    <w:rsid w:val="008A2FBF"/>
    <w:rsid w:val="008A3111"/>
    <w:rsid w:val="008A319C"/>
    <w:rsid w:val="008A3280"/>
    <w:rsid w:val="008A35A0"/>
    <w:rsid w:val="008A37B9"/>
    <w:rsid w:val="008A3BFA"/>
    <w:rsid w:val="008A3DC0"/>
    <w:rsid w:val="008A3E9E"/>
    <w:rsid w:val="008A40F1"/>
    <w:rsid w:val="008A416F"/>
    <w:rsid w:val="008A4456"/>
    <w:rsid w:val="008A4792"/>
    <w:rsid w:val="008A5067"/>
    <w:rsid w:val="008A5173"/>
    <w:rsid w:val="008A53C4"/>
    <w:rsid w:val="008A5513"/>
    <w:rsid w:val="008A5683"/>
    <w:rsid w:val="008A574B"/>
    <w:rsid w:val="008A57AA"/>
    <w:rsid w:val="008A59BB"/>
    <w:rsid w:val="008A5C4B"/>
    <w:rsid w:val="008A62E3"/>
    <w:rsid w:val="008A640C"/>
    <w:rsid w:val="008A68CA"/>
    <w:rsid w:val="008A699E"/>
    <w:rsid w:val="008A6DB9"/>
    <w:rsid w:val="008A6F8B"/>
    <w:rsid w:val="008A7194"/>
    <w:rsid w:val="008A74FB"/>
    <w:rsid w:val="008A75EA"/>
    <w:rsid w:val="008A766A"/>
    <w:rsid w:val="008A76DB"/>
    <w:rsid w:val="008A793C"/>
    <w:rsid w:val="008A7EC9"/>
    <w:rsid w:val="008B00C4"/>
    <w:rsid w:val="008B00CF"/>
    <w:rsid w:val="008B022A"/>
    <w:rsid w:val="008B037E"/>
    <w:rsid w:val="008B03AA"/>
    <w:rsid w:val="008B0482"/>
    <w:rsid w:val="008B074B"/>
    <w:rsid w:val="008B0B34"/>
    <w:rsid w:val="008B0B56"/>
    <w:rsid w:val="008B0BC1"/>
    <w:rsid w:val="008B0D61"/>
    <w:rsid w:val="008B0FE3"/>
    <w:rsid w:val="008B1226"/>
    <w:rsid w:val="008B130B"/>
    <w:rsid w:val="008B1618"/>
    <w:rsid w:val="008B161F"/>
    <w:rsid w:val="008B1697"/>
    <w:rsid w:val="008B177A"/>
    <w:rsid w:val="008B17F4"/>
    <w:rsid w:val="008B1A99"/>
    <w:rsid w:val="008B1BE9"/>
    <w:rsid w:val="008B1C52"/>
    <w:rsid w:val="008B1F73"/>
    <w:rsid w:val="008B2008"/>
    <w:rsid w:val="008B2A74"/>
    <w:rsid w:val="008B2DE5"/>
    <w:rsid w:val="008B3038"/>
    <w:rsid w:val="008B3268"/>
    <w:rsid w:val="008B3274"/>
    <w:rsid w:val="008B352E"/>
    <w:rsid w:val="008B38CD"/>
    <w:rsid w:val="008B3CDE"/>
    <w:rsid w:val="008B3E17"/>
    <w:rsid w:val="008B4441"/>
    <w:rsid w:val="008B45B5"/>
    <w:rsid w:val="008B45B6"/>
    <w:rsid w:val="008B4956"/>
    <w:rsid w:val="008B4ED2"/>
    <w:rsid w:val="008B50B8"/>
    <w:rsid w:val="008B517D"/>
    <w:rsid w:val="008B5B50"/>
    <w:rsid w:val="008B5C40"/>
    <w:rsid w:val="008B6020"/>
    <w:rsid w:val="008B67D2"/>
    <w:rsid w:val="008B6BF3"/>
    <w:rsid w:val="008B71F2"/>
    <w:rsid w:val="008B7317"/>
    <w:rsid w:val="008B7B85"/>
    <w:rsid w:val="008B7CF1"/>
    <w:rsid w:val="008B7E53"/>
    <w:rsid w:val="008C0087"/>
    <w:rsid w:val="008C05C5"/>
    <w:rsid w:val="008C08D6"/>
    <w:rsid w:val="008C131F"/>
    <w:rsid w:val="008C1C69"/>
    <w:rsid w:val="008C1D62"/>
    <w:rsid w:val="008C1E11"/>
    <w:rsid w:val="008C2182"/>
    <w:rsid w:val="008C239F"/>
    <w:rsid w:val="008C2432"/>
    <w:rsid w:val="008C24A0"/>
    <w:rsid w:val="008C24E4"/>
    <w:rsid w:val="008C291D"/>
    <w:rsid w:val="008C2925"/>
    <w:rsid w:val="008C2B5A"/>
    <w:rsid w:val="008C2CF9"/>
    <w:rsid w:val="008C2DD2"/>
    <w:rsid w:val="008C2F33"/>
    <w:rsid w:val="008C311B"/>
    <w:rsid w:val="008C3262"/>
    <w:rsid w:val="008C336F"/>
    <w:rsid w:val="008C3475"/>
    <w:rsid w:val="008C3826"/>
    <w:rsid w:val="008C397F"/>
    <w:rsid w:val="008C39F7"/>
    <w:rsid w:val="008C451C"/>
    <w:rsid w:val="008C47CC"/>
    <w:rsid w:val="008C4D30"/>
    <w:rsid w:val="008C4D42"/>
    <w:rsid w:val="008C4DAB"/>
    <w:rsid w:val="008C516D"/>
    <w:rsid w:val="008C51E3"/>
    <w:rsid w:val="008C530D"/>
    <w:rsid w:val="008C53B7"/>
    <w:rsid w:val="008C543A"/>
    <w:rsid w:val="008C5501"/>
    <w:rsid w:val="008C5B3E"/>
    <w:rsid w:val="008C5EA6"/>
    <w:rsid w:val="008C5EF2"/>
    <w:rsid w:val="008C61FE"/>
    <w:rsid w:val="008C639F"/>
    <w:rsid w:val="008C63FB"/>
    <w:rsid w:val="008C643F"/>
    <w:rsid w:val="008C660B"/>
    <w:rsid w:val="008C68B2"/>
    <w:rsid w:val="008C692C"/>
    <w:rsid w:val="008C69C6"/>
    <w:rsid w:val="008C6C44"/>
    <w:rsid w:val="008C6D37"/>
    <w:rsid w:val="008C71C7"/>
    <w:rsid w:val="008C73D4"/>
    <w:rsid w:val="008C7465"/>
    <w:rsid w:val="008C75B4"/>
    <w:rsid w:val="008C76EC"/>
    <w:rsid w:val="008C77D2"/>
    <w:rsid w:val="008C790B"/>
    <w:rsid w:val="008C7D11"/>
    <w:rsid w:val="008C7F6B"/>
    <w:rsid w:val="008D0068"/>
    <w:rsid w:val="008D00E6"/>
    <w:rsid w:val="008D01D6"/>
    <w:rsid w:val="008D057D"/>
    <w:rsid w:val="008D06C6"/>
    <w:rsid w:val="008D0C86"/>
    <w:rsid w:val="008D0DF7"/>
    <w:rsid w:val="008D0EEE"/>
    <w:rsid w:val="008D1407"/>
    <w:rsid w:val="008D1450"/>
    <w:rsid w:val="008D173C"/>
    <w:rsid w:val="008D1888"/>
    <w:rsid w:val="008D1B43"/>
    <w:rsid w:val="008D2415"/>
    <w:rsid w:val="008D257F"/>
    <w:rsid w:val="008D273F"/>
    <w:rsid w:val="008D27C7"/>
    <w:rsid w:val="008D289D"/>
    <w:rsid w:val="008D2A24"/>
    <w:rsid w:val="008D2C1B"/>
    <w:rsid w:val="008D2F0E"/>
    <w:rsid w:val="008D30D1"/>
    <w:rsid w:val="008D3138"/>
    <w:rsid w:val="008D32C3"/>
    <w:rsid w:val="008D34B0"/>
    <w:rsid w:val="008D3901"/>
    <w:rsid w:val="008D3AA2"/>
    <w:rsid w:val="008D3B73"/>
    <w:rsid w:val="008D3BAF"/>
    <w:rsid w:val="008D3D03"/>
    <w:rsid w:val="008D3FDD"/>
    <w:rsid w:val="008D4A69"/>
    <w:rsid w:val="008D4AC2"/>
    <w:rsid w:val="008D4EA3"/>
    <w:rsid w:val="008D52EE"/>
    <w:rsid w:val="008D5627"/>
    <w:rsid w:val="008D5687"/>
    <w:rsid w:val="008D5B98"/>
    <w:rsid w:val="008D5EEA"/>
    <w:rsid w:val="008D5F6D"/>
    <w:rsid w:val="008D6034"/>
    <w:rsid w:val="008D62B4"/>
    <w:rsid w:val="008D6356"/>
    <w:rsid w:val="008D6639"/>
    <w:rsid w:val="008D69ED"/>
    <w:rsid w:val="008D6A24"/>
    <w:rsid w:val="008D6D14"/>
    <w:rsid w:val="008D6DC3"/>
    <w:rsid w:val="008D6E31"/>
    <w:rsid w:val="008D6F8C"/>
    <w:rsid w:val="008D73CE"/>
    <w:rsid w:val="008D78B0"/>
    <w:rsid w:val="008D7BB5"/>
    <w:rsid w:val="008D7C73"/>
    <w:rsid w:val="008D7EB2"/>
    <w:rsid w:val="008D7F04"/>
    <w:rsid w:val="008E060E"/>
    <w:rsid w:val="008E07F7"/>
    <w:rsid w:val="008E084A"/>
    <w:rsid w:val="008E0C71"/>
    <w:rsid w:val="008E0F30"/>
    <w:rsid w:val="008E0FD0"/>
    <w:rsid w:val="008E13D9"/>
    <w:rsid w:val="008E1834"/>
    <w:rsid w:val="008E18F4"/>
    <w:rsid w:val="008E1EE0"/>
    <w:rsid w:val="008E1F95"/>
    <w:rsid w:val="008E1FF7"/>
    <w:rsid w:val="008E20D2"/>
    <w:rsid w:val="008E21B9"/>
    <w:rsid w:val="008E2379"/>
    <w:rsid w:val="008E253A"/>
    <w:rsid w:val="008E274A"/>
    <w:rsid w:val="008E27AC"/>
    <w:rsid w:val="008E28ED"/>
    <w:rsid w:val="008E2F8B"/>
    <w:rsid w:val="008E30D2"/>
    <w:rsid w:val="008E333D"/>
    <w:rsid w:val="008E354F"/>
    <w:rsid w:val="008E3838"/>
    <w:rsid w:val="008E4129"/>
    <w:rsid w:val="008E416D"/>
    <w:rsid w:val="008E4280"/>
    <w:rsid w:val="008E4332"/>
    <w:rsid w:val="008E462E"/>
    <w:rsid w:val="008E48B3"/>
    <w:rsid w:val="008E48E5"/>
    <w:rsid w:val="008E4C4B"/>
    <w:rsid w:val="008E4D66"/>
    <w:rsid w:val="008E4DB4"/>
    <w:rsid w:val="008E51DE"/>
    <w:rsid w:val="008E51E2"/>
    <w:rsid w:val="008E529B"/>
    <w:rsid w:val="008E575C"/>
    <w:rsid w:val="008E5B4A"/>
    <w:rsid w:val="008E5C44"/>
    <w:rsid w:val="008E5C70"/>
    <w:rsid w:val="008E5C99"/>
    <w:rsid w:val="008E5E12"/>
    <w:rsid w:val="008E6199"/>
    <w:rsid w:val="008E61F7"/>
    <w:rsid w:val="008E6520"/>
    <w:rsid w:val="008E67ED"/>
    <w:rsid w:val="008E6A2E"/>
    <w:rsid w:val="008E6F79"/>
    <w:rsid w:val="008E6F94"/>
    <w:rsid w:val="008E6FB5"/>
    <w:rsid w:val="008E7076"/>
    <w:rsid w:val="008E71AB"/>
    <w:rsid w:val="008E7222"/>
    <w:rsid w:val="008E76EC"/>
    <w:rsid w:val="008E7925"/>
    <w:rsid w:val="008E7B02"/>
    <w:rsid w:val="008E7CF8"/>
    <w:rsid w:val="008E7E25"/>
    <w:rsid w:val="008E7E4D"/>
    <w:rsid w:val="008E7FCC"/>
    <w:rsid w:val="008E7FF8"/>
    <w:rsid w:val="008F01AF"/>
    <w:rsid w:val="008F04D0"/>
    <w:rsid w:val="008F04D2"/>
    <w:rsid w:val="008F04E9"/>
    <w:rsid w:val="008F057C"/>
    <w:rsid w:val="008F08E9"/>
    <w:rsid w:val="008F0C25"/>
    <w:rsid w:val="008F105F"/>
    <w:rsid w:val="008F12E5"/>
    <w:rsid w:val="008F1391"/>
    <w:rsid w:val="008F1588"/>
    <w:rsid w:val="008F1724"/>
    <w:rsid w:val="008F182C"/>
    <w:rsid w:val="008F1B18"/>
    <w:rsid w:val="008F1E66"/>
    <w:rsid w:val="008F1FC3"/>
    <w:rsid w:val="008F2050"/>
    <w:rsid w:val="008F219D"/>
    <w:rsid w:val="008F2C94"/>
    <w:rsid w:val="008F2D5E"/>
    <w:rsid w:val="008F357D"/>
    <w:rsid w:val="008F398A"/>
    <w:rsid w:val="008F39E5"/>
    <w:rsid w:val="008F3D3D"/>
    <w:rsid w:val="008F3E1C"/>
    <w:rsid w:val="008F43CA"/>
    <w:rsid w:val="008F4676"/>
    <w:rsid w:val="008F4733"/>
    <w:rsid w:val="008F4BCE"/>
    <w:rsid w:val="008F4EA6"/>
    <w:rsid w:val="008F51FB"/>
    <w:rsid w:val="008F52C5"/>
    <w:rsid w:val="008F559D"/>
    <w:rsid w:val="008F559F"/>
    <w:rsid w:val="008F5619"/>
    <w:rsid w:val="008F5C1F"/>
    <w:rsid w:val="008F6172"/>
    <w:rsid w:val="008F6348"/>
    <w:rsid w:val="008F6845"/>
    <w:rsid w:val="008F69CB"/>
    <w:rsid w:val="008F6B50"/>
    <w:rsid w:val="008F6BCB"/>
    <w:rsid w:val="008F7067"/>
    <w:rsid w:val="008F718A"/>
    <w:rsid w:val="008F7387"/>
    <w:rsid w:val="008F7AC9"/>
    <w:rsid w:val="008F7AE8"/>
    <w:rsid w:val="008F7CD2"/>
    <w:rsid w:val="008F7E63"/>
    <w:rsid w:val="008F7F0D"/>
    <w:rsid w:val="00900016"/>
    <w:rsid w:val="0090015C"/>
    <w:rsid w:val="0090056C"/>
    <w:rsid w:val="00900598"/>
    <w:rsid w:val="009006FA"/>
    <w:rsid w:val="00900982"/>
    <w:rsid w:val="00900E80"/>
    <w:rsid w:val="00900FF3"/>
    <w:rsid w:val="00901176"/>
    <w:rsid w:val="00901229"/>
    <w:rsid w:val="0090174D"/>
    <w:rsid w:val="0090176A"/>
    <w:rsid w:val="009018A0"/>
    <w:rsid w:val="00901941"/>
    <w:rsid w:val="00901B71"/>
    <w:rsid w:val="00901BA7"/>
    <w:rsid w:val="00902004"/>
    <w:rsid w:val="00902575"/>
    <w:rsid w:val="009025EF"/>
    <w:rsid w:val="009026C6"/>
    <w:rsid w:val="00902AF1"/>
    <w:rsid w:val="00903044"/>
    <w:rsid w:val="00903176"/>
    <w:rsid w:val="00903184"/>
    <w:rsid w:val="00903234"/>
    <w:rsid w:val="009032CE"/>
    <w:rsid w:val="00903378"/>
    <w:rsid w:val="00903695"/>
    <w:rsid w:val="00903B9F"/>
    <w:rsid w:val="00903CFF"/>
    <w:rsid w:val="00903F1D"/>
    <w:rsid w:val="00903F25"/>
    <w:rsid w:val="0090403A"/>
    <w:rsid w:val="009040E5"/>
    <w:rsid w:val="00904131"/>
    <w:rsid w:val="00904449"/>
    <w:rsid w:val="00904692"/>
    <w:rsid w:val="00904883"/>
    <w:rsid w:val="00904A8B"/>
    <w:rsid w:val="00904BED"/>
    <w:rsid w:val="00904F3E"/>
    <w:rsid w:val="009051EC"/>
    <w:rsid w:val="00905414"/>
    <w:rsid w:val="00905441"/>
    <w:rsid w:val="00905947"/>
    <w:rsid w:val="00905BCB"/>
    <w:rsid w:val="00905FF4"/>
    <w:rsid w:val="00906616"/>
    <w:rsid w:val="00906636"/>
    <w:rsid w:val="00906804"/>
    <w:rsid w:val="00906853"/>
    <w:rsid w:val="009069D1"/>
    <w:rsid w:val="00906C0D"/>
    <w:rsid w:val="00906E5E"/>
    <w:rsid w:val="00906EBE"/>
    <w:rsid w:val="0090708D"/>
    <w:rsid w:val="00907092"/>
    <w:rsid w:val="009070CF"/>
    <w:rsid w:val="00907248"/>
    <w:rsid w:val="0090739A"/>
    <w:rsid w:val="0090745E"/>
    <w:rsid w:val="009074BF"/>
    <w:rsid w:val="009076CD"/>
    <w:rsid w:val="009078D7"/>
    <w:rsid w:val="00907B9E"/>
    <w:rsid w:val="00907BB8"/>
    <w:rsid w:val="00907D5F"/>
    <w:rsid w:val="00907E8D"/>
    <w:rsid w:val="00907E90"/>
    <w:rsid w:val="00907EFA"/>
    <w:rsid w:val="009100E1"/>
    <w:rsid w:val="00910516"/>
    <w:rsid w:val="009106CD"/>
    <w:rsid w:val="009109CB"/>
    <w:rsid w:val="00910B38"/>
    <w:rsid w:val="00910CA2"/>
    <w:rsid w:val="00910EBA"/>
    <w:rsid w:val="0091142A"/>
    <w:rsid w:val="009118A1"/>
    <w:rsid w:val="009118EE"/>
    <w:rsid w:val="00911A9B"/>
    <w:rsid w:val="00911C02"/>
    <w:rsid w:val="00911C38"/>
    <w:rsid w:val="0091239F"/>
    <w:rsid w:val="00912733"/>
    <w:rsid w:val="0091280E"/>
    <w:rsid w:val="009128A7"/>
    <w:rsid w:val="00912BF2"/>
    <w:rsid w:val="00912E56"/>
    <w:rsid w:val="00912F1F"/>
    <w:rsid w:val="0091352F"/>
    <w:rsid w:val="00913A93"/>
    <w:rsid w:val="00913B0B"/>
    <w:rsid w:val="00913D1B"/>
    <w:rsid w:val="00913DA1"/>
    <w:rsid w:val="00914144"/>
    <w:rsid w:val="009141A4"/>
    <w:rsid w:val="00914503"/>
    <w:rsid w:val="0091456F"/>
    <w:rsid w:val="0091477B"/>
    <w:rsid w:val="00914825"/>
    <w:rsid w:val="00914828"/>
    <w:rsid w:val="00914B28"/>
    <w:rsid w:val="009154BE"/>
    <w:rsid w:val="00915722"/>
    <w:rsid w:val="009157F2"/>
    <w:rsid w:val="00915809"/>
    <w:rsid w:val="00915891"/>
    <w:rsid w:val="0091598C"/>
    <w:rsid w:val="00915CC9"/>
    <w:rsid w:val="00915ED7"/>
    <w:rsid w:val="00915F39"/>
    <w:rsid w:val="00915F5C"/>
    <w:rsid w:val="00915FB6"/>
    <w:rsid w:val="0091656A"/>
    <w:rsid w:val="009168FB"/>
    <w:rsid w:val="009169D0"/>
    <w:rsid w:val="00916CFA"/>
    <w:rsid w:val="00917272"/>
    <w:rsid w:val="009173B4"/>
    <w:rsid w:val="009176B9"/>
    <w:rsid w:val="00917B89"/>
    <w:rsid w:val="00917BA9"/>
    <w:rsid w:val="00917CB7"/>
    <w:rsid w:val="00917E1F"/>
    <w:rsid w:val="00917E9E"/>
    <w:rsid w:val="009202CB"/>
    <w:rsid w:val="009203CB"/>
    <w:rsid w:val="009205FC"/>
    <w:rsid w:val="00920BA2"/>
    <w:rsid w:val="00920BDE"/>
    <w:rsid w:val="00920FD1"/>
    <w:rsid w:val="00921296"/>
    <w:rsid w:val="00921347"/>
    <w:rsid w:val="00921775"/>
    <w:rsid w:val="00921816"/>
    <w:rsid w:val="0092187A"/>
    <w:rsid w:val="00921971"/>
    <w:rsid w:val="00922187"/>
    <w:rsid w:val="0092227B"/>
    <w:rsid w:val="00922404"/>
    <w:rsid w:val="00922598"/>
    <w:rsid w:val="0092284D"/>
    <w:rsid w:val="00922C1E"/>
    <w:rsid w:val="00922E76"/>
    <w:rsid w:val="0092374C"/>
    <w:rsid w:val="00923790"/>
    <w:rsid w:val="00923AC6"/>
    <w:rsid w:val="00923B46"/>
    <w:rsid w:val="00923CE8"/>
    <w:rsid w:val="00923CF2"/>
    <w:rsid w:val="00923D09"/>
    <w:rsid w:val="00924014"/>
    <w:rsid w:val="00924092"/>
    <w:rsid w:val="0092462E"/>
    <w:rsid w:val="009246E6"/>
    <w:rsid w:val="009248DF"/>
    <w:rsid w:val="00924E96"/>
    <w:rsid w:val="00925204"/>
    <w:rsid w:val="00925540"/>
    <w:rsid w:val="00925544"/>
    <w:rsid w:val="00925817"/>
    <w:rsid w:val="00925AEC"/>
    <w:rsid w:val="00925B24"/>
    <w:rsid w:val="00925EFC"/>
    <w:rsid w:val="00925FAF"/>
    <w:rsid w:val="009260B2"/>
    <w:rsid w:val="00926157"/>
    <w:rsid w:val="009265C4"/>
    <w:rsid w:val="009267D8"/>
    <w:rsid w:val="00926886"/>
    <w:rsid w:val="00926973"/>
    <w:rsid w:val="00926A86"/>
    <w:rsid w:val="00926BC8"/>
    <w:rsid w:val="00926E55"/>
    <w:rsid w:val="00926EBC"/>
    <w:rsid w:val="00926EEC"/>
    <w:rsid w:val="00926FD2"/>
    <w:rsid w:val="009274A1"/>
    <w:rsid w:val="009276D2"/>
    <w:rsid w:val="0092778B"/>
    <w:rsid w:val="00927960"/>
    <w:rsid w:val="00927E5C"/>
    <w:rsid w:val="0093005D"/>
    <w:rsid w:val="00930679"/>
    <w:rsid w:val="009318F4"/>
    <w:rsid w:val="009321FC"/>
    <w:rsid w:val="009323D7"/>
    <w:rsid w:val="0093241D"/>
    <w:rsid w:val="009329B5"/>
    <w:rsid w:val="009329C6"/>
    <w:rsid w:val="00932A2A"/>
    <w:rsid w:val="00932A4C"/>
    <w:rsid w:val="00932D75"/>
    <w:rsid w:val="00933366"/>
    <w:rsid w:val="00933A1B"/>
    <w:rsid w:val="00933B9B"/>
    <w:rsid w:val="00933C6E"/>
    <w:rsid w:val="00933CF7"/>
    <w:rsid w:val="009341E3"/>
    <w:rsid w:val="009343C4"/>
    <w:rsid w:val="00934433"/>
    <w:rsid w:val="0093497B"/>
    <w:rsid w:val="0093529D"/>
    <w:rsid w:val="009352F2"/>
    <w:rsid w:val="009357F3"/>
    <w:rsid w:val="00935884"/>
    <w:rsid w:val="0093589C"/>
    <w:rsid w:val="009358C9"/>
    <w:rsid w:val="009358DC"/>
    <w:rsid w:val="00935A17"/>
    <w:rsid w:val="00935A67"/>
    <w:rsid w:val="00935CBC"/>
    <w:rsid w:val="00935D3A"/>
    <w:rsid w:val="009365B9"/>
    <w:rsid w:val="00936767"/>
    <w:rsid w:val="00936D50"/>
    <w:rsid w:val="00937227"/>
    <w:rsid w:val="0093772E"/>
    <w:rsid w:val="00937740"/>
    <w:rsid w:val="00937DBC"/>
    <w:rsid w:val="009402DB"/>
    <w:rsid w:val="00940361"/>
    <w:rsid w:val="009406E8"/>
    <w:rsid w:val="00940A5F"/>
    <w:rsid w:val="00940EE2"/>
    <w:rsid w:val="00940F7A"/>
    <w:rsid w:val="009412C7"/>
    <w:rsid w:val="009412D3"/>
    <w:rsid w:val="009412D9"/>
    <w:rsid w:val="0094148D"/>
    <w:rsid w:val="009417FD"/>
    <w:rsid w:val="00941902"/>
    <w:rsid w:val="00941BFC"/>
    <w:rsid w:val="00942013"/>
    <w:rsid w:val="00942B10"/>
    <w:rsid w:val="00942FC1"/>
    <w:rsid w:val="0094335C"/>
    <w:rsid w:val="00943531"/>
    <w:rsid w:val="009436F7"/>
    <w:rsid w:val="009438E4"/>
    <w:rsid w:val="00943CB5"/>
    <w:rsid w:val="0094437C"/>
    <w:rsid w:val="00944433"/>
    <w:rsid w:val="009445AA"/>
    <w:rsid w:val="00944855"/>
    <w:rsid w:val="009449B5"/>
    <w:rsid w:val="00944A3A"/>
    <w:rsid w:val="00944D11"/>
    <w:rsid w:val="00945008"/>
    <w:rsid w:val="00945066"/>
    <w:rsid w:val="00945266"/>
    <w:rsid w:val="009456E6"/>
    <w:rsid w:val="00945748"/>
    <w:rsid w:val="00945760"/>
    <w:rsid w:val="0094582D"/>
    <w:rsid w:val="00945CEE"/>
    <w:rsid w:val="00945DF3"/>
    <w:rsid w:val="00945E71"/>
    <w:rsid w:val="00946543"/>
    <w:rsid w:val="00946545"/>
    <w:rsid w:val="009465EA"/>
    <w:rsid w:val="00946B16"/>
    <w:rsid w:val="00946CC0"/>
    <w:rsid w:val="00946D0F"/>
    <w:rsid w:val="00947002"/>
    <w:rsid w:val="009472FB"/>
    <w:rsid w:val="00947352"/>
    <w:rsid w:val="00947402"/>
    <w:rsid w:val="0094782C"/>
    <w:rsid w:val="00947C6A"/>
    <w:rsid w:val="00947D9B"/>
    <w:rsid w:val="00950002"/>
    <w:rsid w:val="0095024D"/>
    <w:rsid w:val="009502AB"/>
    <w:rsid w:val="0095057F"/>
    <w:rsid w:val="0095061E"/>
    <w:rsid w:val="0095108E"/>
    <w:rsid w:val="00951292"/>
    <w:rsid w:val="00951364"/>
    <w:rsid w:val="009513C6"/>
    <w:rsid w:val="009514B7"/>
    <w:rsid w:val="00951630"/>
    <w:rsid w:val="0095167A"/>
    <w:rsid w:val="0095191C"/>
    <w:rsid w:val="00951AFE"/>
    <w:rsid w:val="00951B65"/>
    <w:rsid w:val="00951B73"/>
    <w:rsid w:val="00951B92"/>
    <w:rsid w:val="00951C5E"/>
    <w:rsid w:val="00951E15"/>
    <w:rsid w:val="00951FA0"/>
    <w:rsid w:val="00952261"/>
    <w:rsid w:val="0095251F"/>
    <w:rsid w:val="00952959"/>
    <w:rsid w:val="00952EDE"/>
    <w:rsid w:val="0095364B"/>
    <w:rsid w:val="00953885"/>
    <w:rsid w:val="00953C2C"/>
    <w:rsid w:val="009546C7"/>
    <w:rsid w:val="00954A2A"/>
    <w:rsid w:val="00954AFF"/>
    <w:rsid w:val="00954D5F"/>
    <w:rsid w:val="0095511D"/>
    <w:rsid w:val="00955170"/>
    <w:rsid w:val="00955186"/>
    <w:rsid w:val="009551E3"/>
    <w:rsid w:val="00955212"/>
    <w:rsid w:val="009552BB"/>
    <w:rsid w:val="0095546E"/>
    <w:rsid w:val="00955692"/>
    <w:rsid w:val="009557B0"/>
    <w:rsid w:val="00955898"/>
    <w:rsid w:val="00955A9A"/>
    <w:rsid w:val="00955BED"/>
    <w:rsid w:val="00955E03"/>
    <w:rsid w:val="00955E1B"/>
    <w:rsid w:val="009560DF"/>
    <w:rsid w:val="009568BE"/>
    <w:rsid w:val="00956AE1"/>
    <w:rsid w:val="00956C96"/>
    <w:rsid w:val="00956CD9"/>
    <w:rsid w:val="00956D14"/>
    <w:rsid w:val="00956D1D"/>
    <w:rsid w:val="00957281"/>
    <w:rsid w:val="009573EE"/>
    <w:rsid w:val="009575D2"/>
    <w:rsid w:val="0095770D"/>
    <w:rsid w:val="009579F2"/>
    <w:rsid w:val="00960005"/>
    <w:rsid w:val="0096004B"/>
    <w:rsid w:val="009600E8"/>
    <w:rsid w:val="0096041D"/>
    <w:rsid w:val="009605F3"/>
    <w:rsid w:val="0096085A"/>
    <w:rsid w:val="0096094C"/>
    <w:rsid w:val="00960C0B"/>
    <w:rsid w:val="00960CD9"/>
    <w:rsid w:val="00960F02"/>
    <w:rsid w:val="009610F8"/>
    <w:rsid w:val="009614C3"/>
    <w:rsid w:val="00961533"/>
    <w:rsid w:val="009616DD"/>
    <w:rsid w:val="00961F3C"/>
    <w:rsid w:val="00962886"/>
    <w:rsid w:val="00963109"/>
    <w:rsid w:val="00963307"/>
    <w:rsid w:val="0096331F"/>
    <w:rsid w:val="00963425"/>
    <w:rsid w:val="0096394A"/>
    <w:rsid w:val="00963B37"/>
    <w:rsid w:val="00963C5F"/>
    <w:rsid w:val="00963C9A"/>
    <w:rsid w:val="00963E02"/>
    <w:rsid w:val="0096438F"/>
    <w:rsid w:val="009643B2"/>
    <w:rsid w:val="009644B9"/>
    <w:rsid w:val="00964C0F"/>
    <w:rsid w:val="00964C5B"/>
    <w:rsid w:val="009653C5"/>
    <w:rsid w:val="009656F2"/>
    <w:rsid w:val="00965719"/>
    <w:rsid w:val="009658A4"/>
    <w:rsid w:val="00965AC7"/>
    <w:rsid w:val="00965EE4"/>
    <w:rsid w:val="009660B2"/>
    <w:rsid w:val="00966141"/>
    <w:rsid w:val="00966158"/>
    <w:rsid w:val="009661F9"/>
    <w:rsid w:val="00966269"/>
    <w:rsid w:val="009662ED"/>
    <w:rsid w:val="00966EB5"/>
    <w:rsid w:val="00966FA5"/>
    <w:rsid w:val="00966FF3"/>
    <w:rsid w:val="009673EA"/>
    <w:rsid w:val="00967492"/>
    <w:rsid w:val="00967499"/>
    <w:rsid w:val="00967A3D"/>
    <w:rsid w:val="00967B10"/>
    <w:rsid w:val="00967D91"/>
    <w:rsid w:val="00967E33"/>
    <w:rsid w:val="00967E93"/>
    <w:rsid w:val="009701D2"/>
    <w:rsid w:val="00970416"/>
    <w:rsid w:val="009705DD"/>
    <w:rsid w:val="009707C5"/>
    <w:rsid w:val="00970953"/>
    <w:rsid w:val="009710F1"/>
    <w:rsid w:val="009710FA"/>
    <w:rsid w:val="0097122C"/>
    <w:rsid w:val="0097157C"/>
    <w:rsid w:val="00971720"/>
    <w:rsid w:val="00971898"/>
    <w:rsid w:val="009718F7"/>
    <w:rsid w:val="00971F9B"/>
    <w:rsid w:val="00971FCE"/>
    <w:rsid w:val="00972287"/>
    <w:rsid w:val="009726AA"/>
    <w:rsid w:val="00972791"/>
    <w:rsid w:val="00973088"/>
    <w:rsid w:val="009732D7"/>
    <w:rsid w:val="0097333D"/>
    <w:rsid w:val="00974677"/>
    <w:rsid w:val="00974CD3"/>
    <w:rsid w:val="00975422"/>
    <w:rsid w:val="009756F7"/>
    <w:rsid w:val="0097599E"/>
    <w:rsid w:val="00975AD9"/>
    <w:rsid w:val="00975AFB"/>
    <w:rsid w:val="00975C60"/>
    <w:rsid w:val="00975D96"/>
    <w:rsid w:val="00975F05"/>
    <w:rsid w:val="00975F2A"/>
    <w:rsid w:val="00976312"/>
    <w:rsid w:val="009763B6"/>
    <w:rsid w:val="0097641E"/>
    <w:rsid w:val="00976741"/>
    <w:rsid w:val="00976C8F"/>
    <w:rsid w:val="00976CE5"/>
    <w:rsid w:val="00976F08"/>
    <w:rsid w:val="00976F70"/>
    <w:rsid w:val="0097704D"/>
    <w:rsid w:val="009770C8"/>
    <w:rsid w:val="009771D2"/>
    <w:rsid w:val="0097765D"/>
    <w:rsid w:val="0097766E"/>
    <w:rsid w:val="009778F4"/>
    <w:rsid w:val="00977AD5"/>
    <w:rsid w:val="00977AFE"/>
    <w:rsid w:val="00977B59"/>
    <w:rsid w:val="00977B66"/>
    <w:rsid w:val="00977C94"/>
    <w:rsid w:val="00977CF4"/>
    <w:rsid w:val="00977D1A"/>
    <w:rsid w:val="00977FCF"/>
    <w:rsid w:val="009800B4"/>
    <w:rsid w:val="00980109"/>
    <w:rsid w:val="009801C4"/>
    <w:rsid w:val="00980407"/>
    <w:rsid w:val="009805C4"/>
    <w:rsid w:val="00980CF9"/>
    <w:rsid w:val="00980F3B"/>
    <w:rsid w:val="00980F60"/>
    <w:rsid w:val="00980FFC"/>
    <w:rsid w:val="00981286"/>
    <w:rsid w:val="00981292"/>
    <w:rsid w:val="00981324"/>
    <w:rsid w:val="00981428"/>
    <w:rsid w:val="00981536"/>
    <w:rsid w:val="00981774"/>
    <w:rsid w:val="00981C37"/>
    <w:rsid w:val="00981C5A"/>
    <w:rsid w:val="00982273"/>
    <w:rsid w:val="009822BD"/>
    <w:rsid w:val="00982695"/>
    <w:rsid w:val="0098270B"/>
    <w:rsid w:val="0098278C"/>
    <w:rsid w:val="00982A92"/>
    <w:rsid w:val="00982F3B"/>
    <w:rsid w:val="009831FF"/>
    <w:rsid w:val="00983477"/>
    <w:rsid w:val="009834E1"/>
    <w:rsid w:val="00983511"/>
    <w:rsid w:val="009835F7"/>
    <w:rsid w:val="009835FA"/>
    <w:rsid w:val="009836B2"/>
    <w:rsid w:val="009836DA"/>
    <w:rsid w:val="00983712"/>
    <w:rsid w:val="0098380A"/>
    <w:rsid w:val="009839AD"/>
    <w:rsid w:val="00983A19"/>
    <w:rsid w:val="00983F57"/>
    <w:rsid w:val="0098403F"/>
    <w:rsid w:val="009843F3"/>
    <w:rsid w:val="009845C0"/>
    <w:rsid w:val="0098498E"/>
    <w:rsid w:val="00984AB2"/>
    <w:rsid w:val="00984C2C"/>
    <w:rsid w:val="00984D51"/>
    <w:rsid w:val="00985173"/>
    <w:rsid w:val="009852FD"/>
    <w:rsid w:val="00985330"/>
    <w:rsid w:val="00985332"/>
    <w:rsid w:val="0098538D"/>
    <w:rsid w:val="009853D9"/>
    <w:rsid w:val="00985595"/>
    <w:rsid w:val="009855CA"/>
    <w:rsid w:val="00985A3B"/>
    <w:rsid w:val="00985C32"/>
    <w:rsid w:val="00985DA1"/>
    <w:rsid w:val="00986088"/>
    <w:rsid w:val="009863B0"/>
    <w:rsid w:val="00986538"/>
    <w:rsid w:val="0098687F"/>
    <w:rsid w:val="00986B84"/>
    <w:rsid w:val="00986EFE"/>
    <w:rsid w:val="00986F40"/>
    <w:rsid w:val="009874AB"/>
    <w:rsid w:val="00987607"/>
    <w:rsid w:val="00987701"/>
    <w:rsid w:val="0099013E"/>
    <w:rsid w:val="00990194"/>
    <w:rsid w:val="0099063A"/>
    <w:rsid w:val="009907B3"/>
    <w:rsid w:val="00990BAD"/>
    <w:rsid w:val="00990D1E"/>
    <w:rsid w:val="00991192"/>
    <w:rsid w:val="009915DE"/>
    <w:rsid w:val="0099173D"/>
    <w:rsid w:val="0099178B"/>
    <w:rsid w:val="009917DE"/>
    <w:rsid w:val="0099188B"/>
    <w:rsid w:val="00991A74"/>
    <w:rsid w:val="00991C4A"/>
    <w:rsid w:val="00991F38"/>
    <w:rsid w:val="00992150"/>
    <w:rsid w:val="0099221F"/>
    <w:rsid w:val="0099284D"/>
    <w:rsid w:val="00992EFA"/>
    <w:rsid w:val="00993257"/>
    <w:rsid w:val="00993370"/>
    <w:rsid w:val="009933B8"/>
    <w:rsid w:val="0099357F"/>
    <w:rsid w:val="00993926"/>
    <w:rsid w:val="00993D9E"/>
    <w:rsid w:val="00993E14"/>
    <w:rsid w:val="00993E2C"/>
    <w:rsid w:val="009941BA"/>
    <w:rsid w:val="009941EB"/>
    <w:rsid w:val="00994980"/>
    <w:rsid w:val="009949AE"/>
    <w:rsid w:val="0099514F"/>
    <w:rsid w:val="00995215"/>
    <w:rsid w:val="009952C3"/>
    <w:rsid w:val="00995356"/>
    <w:rsid w:val="00995488"/>
    <w:rsid w:val="0099561F"/>
    <w:rsid w:val="009957C5"/>
    <w:rsid w:val="00995B79"/>
    <w:rsid w:val="00995D1A"/>
    <w:rsid w:val="00995D24"/>
    <w:rsid w:val="00995D63"/>
    <w:rsid w:val="00995E49"/>
    <w:rsid w:val="0099608C"/>
    <w:rsid w:val="0099610D"/>
    <w:rsid w:val="00996289"/>
    <w:rsid w:val="00996323"/>
    <w:rsid w:val="0099647F"/>
    <w:rsid w:val="009966AB"/>
    <w:rsid w:val="0099678F"/>
    <w:rsid w:val="0099717F"/>
    <w:rsid w:val="0099766B"/>
    <w:rsid w:val="0099768A"/>
    <w:rsid w:val="00997CDE"/>
    <w:rsid w:val="00997D70"/>
    <w:rsid w:val="00997DE5"/>
    <w:rsid w:val="00997FC8"/>
    <w:rsid w:val="009A00BD"/>
    <w:rsid w:val="009A038E"/>
    <w:rsid w:val="009A0414"/>
    <w:rsid w:val="009A041E"/>
    <w:rsid w:val="009A0497"/>
    <w:rsid w:val="009A0896"/>
    <w:rsid w:val="009A09BE"/>
    <w:rsid w:val="009A0EA4"/>
    <w:rsid w:val="009A0F20"/>
    <w:rsid w:val="009A10E5"/>
    <w:rsid w:val="009A119B"/>
    <w:rsid w:val="009A1377"/>
    <w:rsid w:val="009A16E5"/>
    <w:rsid w:val="009A1B93"/>
    <w:rsid w:val="009A1DA4"/>
    <w:rsid w:val="009A21A6"/>
    <w:rsid w:val="009A2238"/>
    <w:rsid w:val="009A2623"/>
    <w:rsid w:val="009A336E"/>
    <w:rsid w:val="009A362D"/>
    <w:rsid w:val="009A3AE4"/>
    <w:rsid w:val="009A4216"/>
    <w:rsid w:val="009A42BE"/>
    <w:rsid w:val="009A44B6"/>
    <w:rsid w:val="009A4AA4"/>
    <w:rsid w:val="009A4C0B"/>
    <w:rsid w:val="009A508B"/>
    <w:rsid w:val="009A54B3"/>
    <w:rsid w:val="009A55B3"/>
    <w:rsid w:val="009A5608"/>
    <w:rsid w:val="009A58D4"/>
    <w:rsid w:val="009A593F"/>
    <w:rsid w:val="009A5A1A"/>
    <w:rsid w:val="009A5A7A"/>
    <w:rsid w:val="009A5ABE"/>
    <w:rsid w:val="009A5DE9"/>
    <w:rsid w:val="009A5FE1"/>
    <w:rsid w:val="009A634D"/>
    <w:rsid w:val="009A63AC"/>
    <w:rsid w:val="009A6421"/>
    <w:rsid w:val="009A66F4"/>
    <w:rsid w:val="009A6933"/>
    <w:rsid w:val="009A6A1D"/>
    <w:rsid w:val="009A7897"/>
    <w:rsid w:val="009A794B"/>
    <w:rsid w:val="009A7A46"/>
    <w:rsid w:val="009A7E02"/>
    <w:rsid w:val="009A7EB7"/>
    <w:rsid w:val="009A7F4A"/>
    <w:rsid w:val="009B0097"/>
    <w:rsid w:val="009B05A0"/>
    <w:rsid w:val="009B05F1"/>
    <w:rsid w:val="009B084C"/>
    <w:rsid w:val="009B0D1C"/>
    <w:rsid w:val="009B0D39"/>
    <w:rsid w:val="009B1279"/>
    <w:rsid w:val="009B177B"/>
    <w:rsid w:val="009B1D26"/>
    <w:rsid w:val="009B1F68"/>
    <w:rsid w:val="009B2790"/>
    <w:rsid w:val="009B29AC"/>
    <w:rsid w:val="009B2AE8"/>
    <w:rsid w:val="009B2B2A"/>
    <w:rsid w:val="009B2BF1"/>
    <w:rsid w:val="009B2C8B"/>
    <w:rsid w:val="009B2D93"/>
    <w:rsid w:val="009B31A7"/>
    <w:rsid w:val="009B337D"/>
    <w:rsid w:val="009B343E"/>
    <w:rsid w:val="009B35AC"/>
    <w:rsid w:val="009B38D2"/>
    <w:rsid w:val="009B394C"/>
    <w:rsid w:val="009B39E9"/>
    <w:rsid w:val="009B3E30"/>
    <w:rsid w:val="009B3EA7"/>
    <w:rsid w:val="009B4038"/>
    <w:rsid w:val="009B45EC"/>
    <w:rsid w:val="009B49DE"/>
    <w:rsid w:val="009B523F"/>
    <w:rsid w:val="009B5351"/>
    <w:rsid w:val="009B552A"/>
    <w:rsid w:val="009B5BCA"/>
    <w:rsid w:val="009B5C30"/>
    <w:rsid w:val="009B5F9E"/>
    <w:rsid w:val="009B60AE"/>
    <w:rsid w:val="009B6159"/>
    <w:rsid w:val="009B6511"/>
    <w:rsid w:val="009B6530"/>
    <w:rsid w:val="009B65A9"/>
    <w:rsid w:val="009B663E"/>
    <w:rsid w:val="009B67D1"/>
    <w:rsid w:val="009B6990"/>
    <w:rsid w:val="009B69D4"/>
    <w:rsid w:val="009B6B6E"/>
    <w:rsid w:val="009B6E3C"/>
    <w:rsid w:val="009B77A6"/>
    <w:rsid w:val="009B7B67"/>
    <w:rsid w:val="009B7D88"/>
    <w:rsid w:val="009C024B"/>
    <w:rsid w:val="009C031E"/>
    <w:rsid w:val="009C0392"/>
    <w:rsid w:val="009C0422"/>
    <w:rsid w:val="009C0888"/>
    <w:rsid w:val="009C0A85"/>
    <w:rsid w:val="009C0E31"/>
    <w:rsid w:val="009C0E57"/>
    <w:rsid w:val="009C0EFC"/>
    <w:rsid w:val="009C0F35"/>
    <w:rsid w:val="009C1455"/>
    <w:rsid w:val="009C14C2"/>
    <w:rsid w:val="009C1855"/>
    <w:rsid w:val="009C1878"/>
    <w:rsid w:val="009C1A55"/>
    <w:rsid w:val="009C1F0D"/>
    <w:rsid w:val="009C1F85"/>
    <w:rsid w:val="009C23FC"/>
    <w:rsid w:val="009C24A4"/>
    <w:rsid w:val="009C26FE"/>
    <w:rsid w:val="009C2772"/>
    <w:rsid w:val="009C2C1A"/>
    <w:rsid w:val="009C2C29"/>
    <w:rsid w:val="009C2C5B"/>
    <w:rsid w:val="009C3801"/>
    <w:rsid w:val="009C405C"/>
    <w:rsid w:val="009C413F"/>
    <w:rsid w:val="009C44C5"/>
    <w:rsid w:val="009C47DA"/>
    <w:rsid w:val="009C4868"/>
    <w:rsid w:val="009C4E96"/>
    <w:rsid w:val="009C504C"/>
    <w:rsid w:val="009C5077"/>
    <w:rsid w:val="009C569E"/>
    <w:rsid w:val="009C5835"/>
    <w:rsid w:val="009C5881"/>
    <w:rsid w:val="009C59C3"/>
    <w:rsid w:val="009C5A6A"/>
    <w:rsid w:val="009C5ABE"/>
    <w:rsid w:val="009C5E01"/>
    <w:rsid w:val="009C5E1B"/>
    <w:rsid w:val="009C61D7"/>
    <w:rsid w:val="009C62A1"/>
    <w:rsid w:val="009C6332"/>
    <w:rsid w:val="009C637C"/>
    <w:rsid w:val="009C64D7"/>
    <w:rsid w:val="009C68C8"/>
    <w:rsid w:val="009C6AF3"/>
    <w:rsid w:val="009C6B3E"/>
    <w:rsid w:val="009C6DD0"/>
    <w:rsid w:val="009C6EBE"/>
    <w:rsid w:val="009C6FE8"/>
    <w:rsid w:val="009C7052"/>
    <w:rsid w:val="009C7149"/>
    <w:rsid w:val="009C7254"/>
    <w:rsid w:val="009C72C9"/>
    <w:rsid w:val="009C7340"/>
    <w:rsid w:val="009C75A8"/>
    <w:rsid w:val="009C793F"/>
    <w:rsid w:val="009C7A5F"/>
    <w:rsid w:val="009C7AC6"/>
    <w:rsid w:val="009C7C92"/>
    <w:rsid w:val="009C7D3F"/>
    <w:rsid w:val="009C7DE3"/>
    <w:rsid w:val="009C7F7E"/>
    <w:rsid w:val="009D0484"/>
    <w:rsid w:val="009D05D6"/>
    <w:rsid w:val="009D074D"/>
    <w:rsid w:val="009D0E1B"/>
    <w:rsid w:val="009D0FCE"/>
    <w:rsid w:val="009D1D7C"/>
    <w:rsid w:val="009D210B"/>
    <w:rsid w:val="009D2258"/>
    <w:rsid w:val="009D229E"/>
    <w:rsid w:val="009D22F0"/>
    <w:rsid w:val="009D2345"/>
    <w:rsid w:val="009D2A57"/>
    <w:rsid w:val="009D2F74"/>
    <w:rsid w:val="009D346A"/>
    <w:rsid w:val="009D3817"/>
    <w:rsid w:val="009D3B37"/>
    <w:rsid w:val="009D3C62"/>
    <w:rsid w:val="009D3CA2"/>
    <w:rsid w:val="009D3DDC"/>
    <w:rsid w:val="009D3ECD"/>
    <w:rsid w:val="009D3EED"/>
    <w:rsid w:val="009D40D3"/>
    <w:rsid w:val="009D41A9"/>
    <w:rsid w:val="009D45FB"/>
    <w:rsid w:val="009D472B"/>
    <w:rsid w:val="009D491F"/>
    <w:rsid w:val="009D49FB"/>
    <w:rsid w:val="009D4CBF"/>
    <w:rsid w:val="009D5241"/>
    <w:rsid w:val="009D5307"/>
    <w:rsid w:val="009D5478"/>
    <w:rsid w:val="009D5508"/>
    <w:rsid w:val="009D57EE"/>
    <w:rsid w:val="009D5AD5"/>
    <w:rsid w:val="009D5B3A"/>
    <w:rsid w:val="009D5D98"/>
    <w:rsid w:val="009D5E91"/>
    <w:rsid w:val="009D5FB7"/>
    <w:rsid w:val="009D64E9"/>
    <w:rsid w:val="009D6506"/>
    <w:rsid w:val="009D68DF"/>
    <w:rsid w:val="009D6A49"/>
    <w:rsid w:val="009D6B83"/>
    <w:rsid w:val="009D7047"/>
    <w:rsid w:val="009D7147"/>
    <w:rsid w:val="009D74D8"/>
    <w:rsid w:val="009D7901"/>
    <w:rsid w:val="009D79CC"/>
    <w:rsid w:val="009D7A58"/>
    <w:rsid w:val="009D7AF3"/>
    <w:rsid w:val="009D7BB4"/>
    <w:rsid w:val="009E002A"/>
    <w:rsid w:val="009E00AB"/>
    <w:rsid w:val="009E03E0"/>
    <w:rsid w:val="009E095B"/>
    <w:rsid w:val="009E0A2B"/>
    <w:rsid w:val="009E1518"/>
    <w:rsid w:val="009E163A"/>
    <w:rsid w:val="009E1819"/>
    <w:rsid w:val="009E1826"/>
    <w:rsid w:val="009E1985"/>
    <w:rsid w:val="009E1A68"/>
    <w:rsid w:val="009E22CA"/>
    <w:rsid w:val="009E2D45"/>
    <w:rsid w:val="009E2DC3"/>
    <w:rsid w:val="009E303C"/>
    <w:rsid w:val="009E316C"/>
    <w:rsid w:val="009E3198"/>
    <w:rsid w:val="009E33BB"/>
    <w:rsid w:val="009E35C8"/>
    <w:rsid w:val="009E367B"/>
    <w:rsid w:val="009E380D"/>
    <w:rsid w:val="009E3882"/>
    <w:rsid w:val="009E39D2"/>
    <w:rsid w:val="009E3BB0"/>
    <w:rsid w:val="009E3CFB"/>
    <w:rsid w:val="009E3E10"/>
    <w:rsid w:val="009E3E1C"/>
    <w:rsid w:val="009E453C"/>
    <w:rsid w:val="009E4971"/>
    <w:rsid w:val="009E4B0F"/>
    <w:rsid w:val="009E4C3E"/>
    <w:rsid w:val="009E4C62"/>
    <w:rsid w:val="009E5192"/>
    <w:rsid w:val="009E51A3"/>
    <w:rsid w:val="009E5240"/>
    <w:rsid w:val="009E541B"/>
    <w:rsid w:val="009E5492"/>
    <w:rsid w:val="009E54EE"/>
    <w:rsid w:val="009E5C30"/>
    <w:rsid w:val="009E5D94"/>
    <w:rsid w:val="009E63AB"/>
    <w:rsid w:val="009E649E"/>
    <w:rsid w:val="009E6655"/>
    <w:rsid w:val="009E6737"/>
    <w:rsid w:val="009E6CB9"/>
    <w:rsid w:val="009E70FD"/>
    <w:rsid w:val="009E7810"/>
    <w:rsid w:val="009F03C2"/>
    <w:rsid w:val="009F04F9"/>
    <w:rsid w:val="009F0512"/>
    <w:rsid w:val="009F0822"/>
    <w:rsid w:val="009F0AB4"/>
    <w:rsid w:val="009F157A"/>
    <w:rsid w:val="009F190E"/>
    <w:rsid w:val="009F19A8"/>
    <w:rsid w:val="009F1B47"/>
    <w:rsid w:val="009F1BEC"/>
    <w:rsid w:val="009F1DA5"/>
    <w:rsid w:val="009F1DD5"/>
    <w:rsid w:val="009F1F18"/>
    <w:rsid w:val="009F22A9"/>
    <w:rsid w:val="009F230B"/>
    <w:rsid w:val="009F2489"/>
    <w:rsid w:val="009F25EB"/>
    <w:rsid w:val="009F2608"/>
    <w:rsid w:val="009F2681"/>
    <w:rsid w:val="009F287E"/>
    <w:rsid w:val="009F2F23"/>
    <w:rsid w:val="009F36CD"/>
    <w:rsid w:val="009F3AA9"/>
    <w:rsid w:val="009F4727"/>
    <w:rsid w:val="009F47E9"/>
    <w:rsid w:val="009F499D"/>
    <w:rsid w:val="009F49CD"/>
    <w:rsid w:val="009F4A29"/>
    <w:rsid w:val="009F4B21"/>
    <w:rsid w:val="009F4FC1"/>
    <w:rsid w:val="009F51A8"/>
    <w:rsid w:val="009F52AC"/>
    <w:rsid w:val="009F5557"/>
    <w:rsid w:val="009F56BF"/>
    <w:rsid w:val="009F582B"/>
    <w:rsid w:val="009F5A11"/>
    <w:rsid w:val="009F5A44"/>
    <w:rsid w:val="009F5A74"/>
    <w:rsid w:val="009F5A9E"/>
    <w:rsid w:val="009F5AD8"/>
    <w:rsid w:val="009F5BA1"/>
    <w:rsid w:val="009F5D40"/>
    <w:rsid w:val="009F5DD0"/>
    <w:rsid w:val="009F63AE"/>
    <w:rsid w:val="009F6406"/>
    <w:rsid w:val="009F644B"/>
    <w:rsid w:val="009F69E6"/>
    <w:rsid w:val="009F6EF6"/>
    <w:rsid w:val="009F71EC"/>
    <w:rsid w:val="009F73ED"/>
    <w:rsid w:val="009F766D"/>
    <w:rsid w:val="009F7ED4"/>
    <w:rsid w:val="00A00135"/>
    <w:rsid w:val="00A00538"/>
    <w:rsid w:val="00A00977"/>
    <w:rsid w:val="00A00F76"/>
    <w:rsid w:val="00A0129F"/>
    <w:rsid w:val="00A0130C"/>
    <w:rsid w:val="00A017E4"/>
    <w:rsid w:val="00A01B30"/>
    <w:rsid w:val="00A01F50"/>
    <w:rsid w:val="00A01F78"/>
    <w:rsid w:val="00A021F1"/>
    <w:rsid w:val="00A02244"/>
    <w:rsid w:val="00A023CC"/>
    <w:rsid w:val="00A02887"/>
    <w:rsid w:val="00A02890"/>
    <w:rsid w:val="00A02E4D"/>
    <w:rsid w:val="00A02E8E"/>
    <w:rsid w:val="00A02E95"/>
    <w:rsid w:val="00A02FB2"/>
    <w:rsid w:val="00A03209"/>
    <w:rsid w:val="00A0339F"/>
    <w:rsid w:val="00A03845"/>
    <w:rsid w:val="00A03C24"/>
    <w:rsid w:val="00A03F8F"/>
    <w:rsid w:val="00A04060"/>
    <w:rsid w:val="00A04334"/>
    <w:rsid w:val="00A043DF"/>
    <w:rsid w:val="00A04674"/>
    <w:rsid w:val="00A053F2"/>
    <w:rsid w:val="00A05BDB"/>
    <w:rsid w:val="00A05BF8"/>
    <w:rsid w:val="00A063F2"/>
    <w:rsid w:val="00A064B3"/>
    <w:rsid w:val="00A064DD"/>
    <w:rsid w:val="00A069AA"/>
    <w:rsid w:val="00A06B57"/>
    <w:rsid w:val="00A06CA6"/>
    <w:rsid w:val="00A06EDA"/>
    <w:rsid w:val="00A070B2"/>
    <w:rsid w:val="00A07739"/>
    <w:rsid w:val="00A07761"/>
    <w:rsid w:val="00A078D0"/>
    <w:rsid w:val="00A07E06"/>
    <w:rsid w:val="00A07F59"/>
    <w:rsid w:val="00A1004D"/>
    <w:rsid w:val="00A106DB"/>
    <w:rsid w:val="00A10897"/>
    <w:rsid w:val="00A10AC7"/>
    <w:rsid w:val="00A10B75"/>
    <w:rsid w:val="00A10BC7"/>
    <w:rsid w:val="00A10C60"/>
    <w:rsid w:val="00A10FF6"/>
    <w:rsid w:val="00A11298"/>
    <w:rsid w:val="00A112A8"/>
    <w:rsid w:val="00A113C3"/>
    <w:rsid w:val="00A115F5"/>
    <w:rsid w:val="00A11663"/>
    <w:rsid w:val="00A1167C"/>
    <w:rsid w:val="00A11786"/>
    <w:rsid w:val="00A119B9"/>
    <w:rsid w:val="00A120B9"/>
    <w:rsid w:val="00A12210"/>
    <w:rsid w:val="00A123D6"/>
    <w:rsid w:val="00A126BB"/>
    <w:rsid w:val="00A12DEC"/>
    <w:rsid w:val="00A12EFA"/>
    <w:rsid w:val="00A12FCB"/>
    <w:rsid w:val="00A13097"/>
    <w:rsid w:val="00A130DA"/>
    <w:rsid w:val="00A13327"/>
    <w:rsid w:val="00A13949"/>
    <w:rsid w:val="00A13B74"/>
    <w:rsid w:val="00A13D2A"/>
    <w:rsid w:val="00A13E47"/>
    <w:rsid w:val="00A13F1D"/>
    <w:rsid w:val="00A1415C"/>
    <w:rsid w:val="00A14189"/>
    <w:rsid w:val="00A144B1"/>
    <w:rsid w:val="00A145A8"/>
    <w:rsid w:val="00A14812"/>
    <w:rsid w:val="00A14B74"/>
    <w:rsid w:val="00A14F58"/>
    <w:rsid w:val="00A150DF"/>
    <w:rsid w:val="00A15C7A"/>
    <w:rsid w:val="00A1694F"/>
    <w:rsid w:val="00A169A4"/>
    <w:rsid w:val="00A16AB8"/>
    <w:rsid w:val="00A171FF"/>
    <w:rsid w:val="00A172E2"/>
    <w:rsid w:val="00A174F5"/>
    <w:rsid w:val="00A17799"/>
    <w:rsid w:val="00A17875"/>
    <w:rsid w:val="00A17A4E"/>
    <w:rsid w:val="00A20061"/>
    <w:rsid w:val="00A20230"/>
    <w:rsid w:val="00A20613"/>
    <w:rsid w:val="00A2070B"/>
    <w:rsid w:val="00A20C4A"/>
    <w:rsid w:val="00A21101"/>
    <w:rsid w:val="00A219F4"/>
    <w:rsid w:val="00A21B38"/>
    <w:rsid w:val="00A224A2"/>
    <w:rsid w:val="00A22726"/>
    <w:rsid w:val="00A22EB0"/>
    <w:rsid w:val="00A22FAF"/>
    <w:rsid w:val="00A2316E"/>
    <w:rsid w:val="00A23205"/>
    <w:rsid w:val="00A23466"/>
    <w:rsid w:val="00A2347F"/>
    <w:rsid w:val="00A236EA"/>
    <w:rsid w:val="00A23E3D"/>
    <w:rsid w:val="00A24257"/>
    <w:rsid w:val="00A24453"/>
    <w:rsid w:val="00A24C8B"/>
    <w:rsid w:val="00A24FA2"/>
    <w:rsid w:val="00A2547B"/>
    <w:rsid w:val="00A25912"/>
    <w:rsid w:val="00A25EAA"/>
    <w:rsid w:val="00A25F48"/>
    <w:rsid w:val="00A267F0"/>
    <w:rsid w:val="00A26B6C"/>
    <w:rsid w:val="00A26C65"/>
    <w:rsid w:val="00A26E10"/>
    <w:rsid w:val="00A26FB9"/>
    <w:rsid w:val="00A26FF1"/>
    <w:rsid w:val="00A27187"/>
    <w:rsid w:val="00A2729D"/>
    <w:rsid w:val="00A274F3"/>
    <w:rsid w:val="00A2770B"/>
    <w:rsid w:val="00A278BC"/>
    <w:rsid w:val="00A278FA"/>
    <w:rsid w:val="00A27FE5"/>
    <w:rsid w:val="00A3008F"/>
    <w:rsid w:val="00A30166"/>
    <w:rsid w:val="00A30264"/>
    <w:rsid w:val="00A305E1"/>
    <w:rsid w:val="00A3086B"/>
    <w:rsid w:val="00A309A8"/>
    <w:rsid w:val="00A3100A"/>
    <w:rsid w:val="00A31229"/>
    <w:rsid w:val="00A314DC"/>
    <w:rsid w:val="00A3175D"/>
    <w:rsid w:val="00A3199B"/>
    <w:rsid w:val="00A31AB5"/>
    <w:rsid w:val="00A31B0F"/>
    <w:rsid w:val="00A31B90"/>
    <w:rsid w:val="00A31B93"/>
    <w:rsid w:val="00A31E9C"/>
    <w:rsid w:val="00A3221F"/>
    <w:rsid w:val="00A3228B"/>
    <w:rsid w:val="00A3241F"/>
    <w:rsid w:val="00A32722"/>
    <w:rsid w:val="00A3283C"/>
    <w:rsid w:val="00A32AC0"/>
    <w:rsid w:val="00A32C8D"/>
    <w:rsid w:val="00A32E53"/>
    <w:rsid w:val="00A32F60"/>
    <w:rsid w:val="00A33017"/>
    <w:rsid w:val="00A33090"/>
    <w:rsid w:val="00A33096"/>
    <w:rsid w:val="00A33205"/>
    <w:rsid w:val="00A337E8"/>
    <w:rsid w:val="00A33B6C"/>
    <w:rsid w:val="00A34096"/>
    <w:rsid w:val="00A340DA"/>
    <w:rsid w:val="00A34487"/>
    <w:rsid w:val="00A347CB"/>
    <w:rsid w:val="00A34A7B"/>
    <w:rsid w:val="00A34C52"/>
    <w:rsid w:val="00A34CB3"/>
    <w:rsid w:val="00A34D16"/>
    <w:rsid w:val="00A34E21"/>
    <w:rsid w:val="00A351A2"/>
    <w:rsid w:val="00A35330"/>
    <w:rsid w:val="00A3536E"/>
    <w:rsid w:val="00A35546"/>
    <w:rsid w:val="00A3557A"/>
    <w:rsid w:val="00A3571A"/>
    <w:rsid w:val="00A35790"/>
    <w:rsid w:val="00A35AB6"/>
    <w:rsid w:val="00A35BFD"/>
    <w:rsid w:val="00A35E7C"/>
    <w:rsid w:val="00A35F99"/>
    <w:rsid w:val="00A35FB4"/>
    <w:rsid w:val="00A35FBA"/>
    <w:rsid w:val="00A35FD3"/>
    <w:rsid w:val="00A369C7"/>
    <w:rsid w:val="00A36A03"/>
    <w:rsid w:val="00A36B24"/>
    <w:rsid w:val="00A36DA1"/>
    <w:rsid w:val="00A36EEF"/>
    <w:rsid w:val="00A37133"/>
    <w:rsid w:val="00A37202"/>
    <w:rsid w:val="00A374F8"/>
    <w:rsid w:val="00A3759F"/>
    <w:rsid w:val="00A378B9"/>
    <w:rsid w:val="00A37986"/>
    <w:rsid w:val="00A379BE"/>
    <w:rsid w:val="00A37E52"/>
    <w:rsid w:val="00A40396"/>
    <w:rsid w:val="00A4043B"/>
    <w:rsid w:val="00A40773"/>
    <w:rsid w:val="00A40907"/>
    <w:rsid w:val="00A40B41"/>
    <w:rsid w:val="00A40E1D"/>
    <w:rsid w:val="00A40F5C"/>
    <w:rsid w:val="00A4121F"/>
    <w:rsid w:val="00A41333"/>
    <w:rsid w:val="00A41A35"/>
    <w:rsid w:val="00A41E1B"/>
    <w:rsid w:val="00A42DBD"/>
    <w:rsid w:val="00A42E82"/>
    <w:rsid w:val="00A4308B"/>
    <w:rsid w:val="00A4344C"/>
    <w:rsid w:val="00A436E6"/>
    <w:rsid w:val="00A43919"/>
    <w:rsid w:val="00A439A5"/>
    <w:rsid w:val="00A439F3"/>
    <w:rsid w:val="00A43DA0"/>
    <w:rsid w:val="00A43F99"/>
    <w:rsid w:val="00A44098"/>
    <w:rsid w:val="00A4436E"/>
    <w:rsid w:val="00A447AA"/>
    <w:rsid w:val="00A447F0"/>
    <w:rsid w:val="00A44B82"/>
    <w:rsid w:val="00A44BFD"/>
    <w:rsid w:val="00A44F51"/>
    <w:rsid w:val="00A4543E"/>
    <w:rsid w:val="00A4554E"/>
    <w:rsid w:val="00A4572C"/>
    <w:rsid w:val="00A45BFD"/>
    <w:rsid w:val="00A4600D"/>
    <w:rsid w:val="00A460F8"/>
    <w:rsid w:val="00A46161"/>
    <w:rsid w:val="00A464FE"/>
    <w:rsid w:val="00A467F8"/>
    <w:rsid w:val="00A46B0A"/>
    <w:rsid w:val="00A47389"/>
    <w:rsid w:val="00A47532"/>
    <w:rsid w:val="00A476EE"/>
    <w:rsid w:val="00A478DB"/>
    <w:rsid w:val="00A50260"/>
    <w:rsid w:val="00A50457"/>
    <w:rsid w:val="00A50664"/>
    <w:rsid w:val="00A506A6"/>
    <w:rsid w:val="00A5078A"/>
    <w:rsid w:val="00A508EB"/>
    <w:rsid w:val="00A50B57"/>
    <w:rsid w:val="00A50CB5"/>
    <w:rsid w:val="00A50D1A"/>
    <w:rsid w:val="00A50E95"/>
    <w:rsid w:val="00A50F17"/>
    <w:rsid w:val="00A51227"/>
    <w:rsid w:val="00A514FC"/>
    <w:rsid w:val="00A51658"/>
    <w:rsid w:val="00A519CB"/>
    <w:rsid w:val="00A51A40"/>
    <w:rsid w:val="00A51CF2"/>
    <w:rsid w:val="00A51E19"/>
    <w:rsid w:val="00A527DA"/>
    <w:rsid w:val="00A5284A"/>
    <w:rsid w:val="00A52A26"/>
    <w:rsid w:val="00A52E12"/>
    <w:rsid w:val="00A53889"/>
    <w:rsid w:val="00A53947"/>
    <w:rsid w:val="00A539A5"/>
    <w:rsid w:val="00A539C5"/>
    <w:rsid w:val="00A53DD1"/>
    <w:rsid w:val="00A5400C"/>
    <w:rsid w:val="00A541A6"/>
    <w:rsid w:val="00A5422B"/>
    <w:rsid w:val="00A546D6"/>
    <w:rsid w:val="00A54892"/>
    <w:rsid w:val="00A54BBA"/>
    <w:rsid w:val="00A54FBB"/>
    <w:rsid w:val="00A5501C"/>
    <w:rsid w:val="00A552BA"/>
    <w:rsid w:val="00A55796"/>
    <w:rsid w:val="00A557EA"/>
    <w:rsid w:val="00A5604E"/>
    <w:rsid w:val="00A560C2"/>
    <w:rsid w:val="00A5625B"/>
    <w:rsid w:val="00A562BA"/>
    <w:rsid w:val="00A5653E"/>
    <w:rsid w:val="00A56576"/>
    <w:rsid w:val="00A56636"/>
    <w:rsid w:val="00A566E2"/>
    <w:rsid w:val="00A567BD"/>
    <w:rsid w:val="00A569AA"/>
    <w:rsid w:val="00A56A6A"/>
    <w:rsid w:val="00A56F59"/>
    <w:rsid w:val="00A571FB"/>
    <w:rsid w:val="00A57DF0"/>
    <w:rsid w:val="00A57F8C"/>
    <w:rsid w:val="00A600BE"/>
    <w:rsid w:val="00A601FB"/>
    <w:rsid w:val="00A602ED"/>
    <w:rsid w:val="00A60526"/>
    <w:rsid w:val="00A60637"/>
    <w:rsid w:val="00A60A0E"/>
    <w:rsid w:val="00A60A94"/>
    <w:rsid w:val="00A60C1D"/>
    <w:rsid w:val="00A60FF1"/>
    <w:rsid w:val="00A61353"/>
    <w:rsid w:val="00A61480"/>
    <w:rsid w:val="00A614C4"/>
    <w:rsid w:val="00A614C9"/>
    <w:rsid w:val="00A6153F"/>
    <w:rsid w:val="00A615FE"/>
    <w:rsid w:val="00A61727"/>
    <w:rsid w:val="00A61A01"/>
    <w:rsid w:val="00A61B2D"/>
    <w:rsid w:val="00A61FD7"/>
    <w:rsid w:val="00A622FA"/>
    <w:rsid w:val="00A625BA"/>
    <w:rsid w:val="00A628D1"/>
    <w:rsid w:val="00A62ABB"/>
    <w:rsid w:val="00A62DBA"/>
    <w:rsid w:val="00A62E78"/>
    <w:rsid w:val="00A62EC2"/>
    <w:rsid w:val="00A62FAB"/>
    <w:rsid w:val="00A6322C"/>
    <w:rsid w:val="00A63340"/>
    <w:rsid w:val="00A633DE"/>
    <w:rsid w:val="00A637E6"/>
    <w:rsid w:val="00A6382B"/>
    <w:rsid w:val="00A63AF1"/>
    <w:rsid w:val="00A63D2E"/>
    <w:rsid w:val="00A63DAA"/>
    <w:rsid w:val="00A643B3"/>
    <w:rsid w:val="00A64B83"/>
    <w:rsid w:val="00A64BFE"/>
    <w:rsid w:val="00A65061"/>
    <w:rsid w:val="00A651CF"/>
    <w:rsid w:val="00A657E9"/>
    <w:rsid w:val="00A65A1B"/>
    <w:rsid w:val="00A65C2C"/>
    <w:rsid w:val="00A65CFD"/>
    <w:rsid w:val="00A65D8E"/>
    <w:rsid w:val="00A66283"/>
    <w:rsid w:val="00A664C3"/>
    <w:rsid w:val="00A6652E"/>
    <w:rsid w:val="00A6663E"/>
    <w:rsid w:val="00A6693F"/>
    <w:rsid w:val="00A66C15"/>
    <w:rsid w:val="00A66FFF"/>
    <w:rsid w:val="00A67534"/>
    <w:rsid w:val="00A6754A"/>
    <w:rsid w:val="00A67606"/>
    <w:rsid w:val="00A67654"/>
    <w:rsid w:val="00A6776F"/>
    <w:rsid w:val="00A67BE0"/>
    <w:rsid w:val="00A7009A"/>
    <w:rsid w:val="00A7062C"/>
    <w:rsid w:val="00A70CF6"/>
    <w:rsid w:val="00A70E1A"/>
    <w:rsid w:val="00A7116B"/>
    <w:rsid w:val="00A715B0"/>
    <w:rsid w:val="00A717E8"/>
    <w:rsid w:val="00A72144"/>
    <w:rsid w:val="00A723C3"/>
    <w:rsid w:val="00A72585"/>
    <w:rsid w:val="00A726A5"/>
    <w:rsid w:val="00A726AC"/>
    <w:rsid w:val="00A72749"/>
    <w:rsid w:val="00A728E4"/>
    <w:rsid w:val="00A72ED8"/>
    <w:rsid w:val="00A72EEA"/>
    <w:rsid w:val="00A733A9"/>
    <w:rsid w:val="00A73451"/>
    <w:rsid w:val="00A73669"/>
    <w:rsid w:val="00A737C9"/>
    <w:rsid w:val="00A73826"/>
    <w:rsid w:val="00A73B29"/>
    <w:rsid w:val="00A73BCB"/>
    <w:rsid w:val="00A73F29"/>
    <w:rsid w:val="00A7453B"/>
    <w:rsid w:val="00A74640"/>
    <w:rsid w:val="00A747BE"/>
    <w:rsid w:val="00A74FD7"/>
    <w:rsid w:val="00A75379"/>
    <w:rsid w:val="00A75383"/>
    <w:rsid w:val="00A753E3"/>
    <w:rsid w:val="00A755B8"/>
    <w:rsid w:val="00A75867"/>
    <w:rsid w:val="00A7587F"/>
    <w:rsid w:val="00A75D9F"/>
    <w:rsid w:val="00A75FD2"/>
    <w:rsid w:val="00A76415"/>
    <w:rsid w:val="00A768A1"/>
    <w:rsid w:val="00A76BAD"/>
    <w:rsid w:val="00A76F93"/>
    <w:rsid w:val="00A772BF"/>
    <w:rsid w:val="00A77CDB"/>
    <w:rsid w:val="00A8002C"/>
    <w:rsid w:val="00A801A7"/>
    <w:rsid w:val="00A806FC"/>
    <w:rsid w:val="00A8075C"/>
    <w:rsid w:val="00A807CB"/>
    <w:rsid w:val="00A807E4"/>
    <w:rsid w:val="00A8091F"/>
    <w:rsid w:val="00A80978"/>
    <w:rsid w:val="00A80A7F"/>
    <w:rsid w:val="00A80B1B"/>
    <w:rsid w:val="00A80EE0"/>
    <w:rsid w:val="00A80F77"/>
    <w:rsid w:val="00A8165A"/>
    <w:rsid w:val="00A81D53"/>
    <w:rsid w:val="00A81F3E"/>
    <w:rsid w:val="00A820EA"/>
    <w:rsid w:val="00A822B2"/>
    <w:rsid w:val="00A824EA"/>
    <w:rsid w:val="00A824FC"/>
    <w:rsid w:val="00A82CE5"/>
    <w:rsid w:val="00A82D05"/>
    <w:rsid w:val="00A82D18"/>
    <w:rsid w:val="00A82E99"/>
    <w:rsid w:val="00A82ECB"/>
    <w:rsid w:val="00A82F47"/>
    <w:rsid w:val="00A83026"/>
    <w:rsid w:val="00A83044"/>
    <w:rsid w:val="00A832A2"/>
    <w:rsid w:val="00A834A0"/>
    <w:rsid w:val="00A834F2"/>
    <w:rsid w:val="00A83880"/>
    <w:rsid w:val="00A83A5B"/>
    <w:rsid w:val="00A83BB1"/>
    <w:rsid w:val="00A84170"/>
    <w:rsid w:val="00A8439A"/>
    <w:rsid w:val="00A845FA"/>
    <w:rsid w:val="00A848C3"/>
    <w:rsid w:val="00A84AAA"/>
    <w:rsid w:val="00A84C82"/>
    <w:rsid w:val="00A84D0F"/>
    <w:rsid w:val="00A84F3C"/>
    <w:rsid w:val="00A84F97"/>
    <w:rsid w:val="00A84FCB"/>
    <w:rsid w:val="00A850AC"/>
    <w:rsid w:val="00A85228"/>
    <w:rsid w:val="00A85444"/>
    <w:rsid w:val="00A8570B"/>
    <w:rsid w:val="00A8575E"/>
    <w:rsid w:val="00A858B7"/>
    <w:rsid w:val="00A85A87"/>
    <w:rsid w:val="00A85DBB"/>
    <w:rsid w:val="00A86059"/>
    <w:rsid w:val="00A861EC"/>
    <w:rsid w:val="00A86286"/>
    <w:rsid w:val="00A8633A"/>
    <w:rsid w:val="00A865C9"/>
    <w:rsid w:val="00A865D2"/>
    <w:rsid w:val="00A8677C"/>
    <w:rsid w:val="00A86799"/>
    <w:rsid w:val="00A8683D"/>
    <w:rsid w:val="00A86E33"/>
    <w:rsid w:val="00A86EEA"/>
    <w:rsid w:val="00A8733A"/>
    <w:rsid w:val="00A873F0"/>
    <w:rsid w:val="00A87703"/>
    <w:rsid w:val="00A87F51"/>
    <w:rsid w:val="00A87FF0"/>
    <w:rsid w:val="00A90554"/>
    <w:rsid w:val="00A9085D"/>
    <w:rsid w:val="00A9087C"/>
    <w:rsid w:val="00A909A2"/>
    <w:rsid w:val="00A90A02"/>
    <w:rsid w:val="00A90A19"/>
    <w:rsid w:val="00A90C60"/>
    <w:rsid w:val="00A91465"/>
    <w:rsid w:val="00A914D6"/>
    <w:rsid w:val="00A91625"/>
    <w:rsid w:val="00A9189C"/>
    <w:rsid w:val="00A91970"/>
    <w:rsid w:val="00A91BCC"/>
    <w:rsid w:val="00A91F30"/>
    <w:rsid w:val="00A920CB"/>
    <w:rsid w:val="00A924F4"/>
    <w:rsid w:val="00A925F1"/>
    <w:rsid w:val="00A92E9E"/>
    <w:rsid w:val="00A9337A"/>
    <w:rsid w:val="00A9363F"/>
    <w:rsid w:val="00A93B31"/>
    <w:rsid w:val="00A93F8B"/>
    <w:rsid w:val="00A94198"/>
    <w:rsid w:val="00A9457E"/>
    <w:rsid w:val="00A94739"/>
    <w:rsid w:val="00A94907"/>
    <w:rsid w:val="00A94B84"/>
    <w:rsid w:val="00A94D53"/>
    <w:rsid w:val="00A94DC4"/>
    <w:rsid w:val="00A94EB6"/>
    <w:rsid w:val="00A950D9"/>
    <w:rsid w:val="00A9551B"/>
    <w:rsid w:val="00A958D9"/>
    <w:rsid w:val="00A95B08"/>
    <w:rsid w:val="00A95C2F"/>
    <w:rsid w:val="00A95CE9"/>
    <w:rsid w:val="00A95CEC"/>
    <w:rsid w:val="00A95E3D"/>
    <w:rsid w:val="00A95F57"/>
    <w:rsid w:val="00A95FD2"/>
    <w:rsid w:val="00A960FB"/>
    <w:rsid w:val="00A9674E"/>
    <w:rsid w:val="00A967BA"/>
    <w:rsid w:val="00A96D06"/>
    <w:rsid w:val="00A96DC1"/>
    <w:rsid w:val="00A96F58"/>
    <w:rsid w:val="00A97036"/>
    <w:rsid w:val="00A971BB"/>
    <w:rsid w:val="00A97286"/>
    <w:rsid w:val="00A9766A"/>
    <w:rsid w:val="00A97818"/>
    <w:rsid w:val="00A97F7E"/>
    <w:rsid w:val="00AA01C5"/>
    <w:rsid w:val="00AA0427"/>
    <w:rsid w:val="00AA0592"/>
    <w:rsid w:val="00AA09AD"/>
    <w:rsid w:val="00AA0BBC"/>
    <w:rsid w:val="00AA0EC3"/>
    <w:rsid w:val="00AA0FD1"/>
    <w:rsid w:val="00AA1086"/>
    <w:rsid w:val="00AA1485"/>
    <w:rsid w:val="00AA1638"/>
    <w:rsid w:val="00AA171E"/>
    <w:rsid w:val="00AA1DFA"/>
    <w:rsid w:val="00AA211C"/>
    <w:rsid w:val="00AA2451"/>
    <w:rsid w:val="00AA25C7"/>
    <w:rsid w:val="00AA2908"/>
    <w:rsid w:val="00AA2917"/>
    <w:rsid w:val="00AA2B30"/>
    <w:rsid w:val="00AA2F89"/>
    <w:rsid w:val="00AA3051"/>
    <w:rsid w:val="00AA31F3"/>
    <w:rsid w:val="00AA333A"/>
    <w:rsid w:val="00AA3772"/>
    <w:rsid w:val="00AA3C15"/>
    <w:rsid w:val="00AA3EE0"/>
    <w:rsid w:val="00AA47E3"/>
    <w:rsid w:val="00AA4BCF"/>
    <w:rsid w:val="00AA4DF4"/>
    <w:rsid w:val="00AA4EE4"/>
    <w:rsid w:val="00AA5357"/>
    <w:rsid w:val="00AA5A54"/>
    <w:rsid w:val="00AA5E57"/>
    <w:rsid w:val="00AA6062"/>
    <w:rsid w:val="00AA64EF"/>
    <w:rsid w:val="00AA6548"/>
    <w:rsid w:val="00AA6573"/>
    <w:rsid w:val="00AA6872"/>
    <w:rsid w:val="00AA6881"/>
    <w:rsid w:val="00AA6A18"/>
    <w:rsid w:val="00AA6A81"/>
    <w:rsid w:val="00AA6C0C"/>
    <w:rsid w:val="00AA74EE"/>
    <w:rsid w:val="00AA76EB"/>
    <w:rsid w:val="00AA7789"/>
    <w:rsid w:val="00AA77C9"/>
    <w:rsid w:val="00AA7C2F"/>
    <w:rsid w:val="00AA7DA0"/>
    <w:rsid w:val="00AB02D4"/>
    <w:rsid w:val="00AB060F"/>
    <w:rsid w:val="00AB06A1"/>
    <w:rsid w:val="00AB081C"/>
    <w:rsid w:val="00AB107D"/>
    <w:rsid w:val="00AB12DF"/>
    <w:rsid w:val="00AB12F4"/>
    <w:rsid w:val="00AB14FD"/>
    <w:rsid w:val="00AB1B8D"/>
    <w:rsid w:val="00AB1F99"/>
    <w:rsid w:val="00AB22FD"/>
    <w:rsid w:val="00AB2429"/>
    <w:rsid w:val="00AB2449"/>
    <w:rsid w:val="00AB2477"/>
    <w:rsid w:val="00AB260A"/>
    <w:rsid w:val="00AB299A"/>
    <w:rsid w:val="00AB2A52"/>
    <w:rsid w:val="00AB2AD3"/>
    <w:rsid w:val="00AB2BC4"/>
    <w:rsid w:val="00AB2D16"/>
    <w:rsid w:val="00AB31C9"/>
    <w:rsid w:val="00AB3341"/>
    <w:rsid w:val="00AB337F"/>
    <w:rsid w:val="00AB34E8"/>
    <w:rsid w:val="00AB36CF"/>
    <w:rsid w:val="00AB3894"/>
    <w:rsid w:val="00AB3AF6"/>
    <w:rsid w:val="00AB3DDC"/>
    <w:rsid w:val="00AB3E1C"/>
    <w:rsid w:val="00AB3EE9"/>
    <w:rsid w:val="00AB3F9B"/>
    <w:rsid w:val="00AB40E5"/>
    <w:rsid w:val="00AB4345"/>
    <w:rsid w:val="00AB43D2"/>
    <w:rsid w:val="00AB43E3"/>
    <w:rsid w:val="00AB43FB"/>
    <w:rsid w:val="00AB4725"/>
    <w:rsid w:val="00AB48F3"/>
    <w:rsid w:val="00AB494F"/>
    <w:rsid w:val="00AB4E65"/>
    <w:rsid w:val="00AB509F"/>
    <w:rsid w:val="00AB530B"/>
    <w:rsid w:val="00AB5561"/>
    <w:rsid w:val="00AB55FD"/>
    <w:rsid w:val="00AB56D1"/>
    <w:rsid w:val="00AB580B"/>
    <w:rsid w:val="00AB5A38"/>
    <w:rsid w:val="00AB5BE6"/>
    <w:rsid w:val="00AB5DFF"/>
    <w:rsid w:val="00AB6618"/>
    <w:rsid w:val="00AB6790"/>
    <w:rsid w:val="00AB68D3"/>
    <w:rsid w:val="00AB6F04"/>
    <w:rsid w:val="00AB6F27"/>
    <w:rsid w:val="00AB7358"/>
    <w:rsid w:val="00AB74B6"/>
    <w:rsid w:val="00AB75EF"/>
    <w:rsid w:val="00AB7C11"/>
    <w:rsid w:val="00AC008E"/>
    <w:rsid w:val="00AC0108"/>
    <w:rsid w:val="00AC02B6"/>
    <w:rsid w:val="00AC0F3D"/>
    <w:rsid w:val="00AC0FF2"/>
    <w:rsid w:val="00AC1231"/>
    <w:rsid w:val="00AC1625"/>
    <w:rsid w:val="00AC1853"/>
    <w:rsid w:val="00AC215D"/>
    <w:rsid w:val="00AC2213"/>
    <w:rsid w:val="00AC23D1"/>
    <w:rsid w:val="00AC245B"/>
    <w:rsid w:val="00AC27D7"/>
    <w:rsid w:val="00AC28E9"/>
    <w:rsid w:val="00AC2D9F"/>
    <w:rsid w:val="00AC2F2F"/>
    <w:rsid w:val="00AC3482"/>
    <w:rsid w:val="00AC363F"/>
    <w:rsid w:val="00AC3939"/>
    <w:rsid w:val="00AC3A0E"/>
    <w:rsid w:val="00AC3EAF"/>
    <w:rsid w:val="00AC3EC7"/>
    <w:rsid w:val="00AC3ED2"/>
    <w:rsid w:val="00AC3FD0"/>
    <w:rsid w:val="00AC41A1"/>
    <w:rsid w:val="00AC42FB"/>
    <w:rsid w:val="00AC4386"/>
    <w:rsid w:val="00AC4C97"/>
    <w:rsid w:val="00AC4E27"/>
    <w:rsid w:val="00AC545C"/>
    <w:rsid w:val="00AC547C"/>
    <w:rsid w:val="00AC5589"/>
    <w:rsid w:val="00AC55B2"/>
    <w:rsid w:val="00AC56E8"/>
    <w:rsid w:val="00AC5710"/>
    <w:rsid w:val="00AC5848"/>
    <w:rsid w:val="00AC5CE7"/>
    <w:rsid w:val="00AC60D6"/>
    <w:rsid w:val="00AC61DC"/>
    <w:rsid w:val="00AC623B"/>
    <w:rsid w:val="00AC6363"/>
    <w:rsid w:val="00AC6593"/>
    <w:rsid w:val="00AC6800"/>
    <w:rsid w:val="00AC6CFD"/>
    <w:rsid w:val="00AC6D3D"/>
    <w:rsid w:val="00AC6D74"/>
    <w:rsid w:val="00AC6E55"/>
    <w:rsid w:val="00AC705D"/>
    <w:rsid w:val="00AC71C6"/>
    <w:rsid w:val="00AC71ED"/>
    <w:rsid w:val="00AC71FB"/>
    <w:rsid w:val="00AC7282"/>
    <w:rsid w:val="00AC74AE"/>
    <w:rsid w:val="00AC791E"/>
    <w:rsid w:val="00AC7DA1"/>
    <w:rsid w:val="00AC7EB2"/>
    <w:rsid w:val="00AD04D5"/>
    <w:rsid w:val="00AD06D9"/>
    <w:rsid w:val="00AD07FA"/>
    <w:rsid w:val="00AD0819"/>
    <w:rsid w:val="00AD09AC"/>
    <w:rsid w:val="00AD0B06"/>
    <w:rsid w:val="00AD0B4C"/>
    <w:rsid w:val="00AD0B8A"/>
    <w:rsid w:val="00AD0C2A"/>
    <w:rsid w:val="00AD0CF7"/>
    <w:rsid w:val="00AD101E"/>
    <w:rsid w:val="00AD1264"/>
    <w:rsid w:val="00AD145B"/>
    <w:rsid w:val="00AD1BA0"/>
    <w:rsid w:val="00AD20A3"/>
    <w:rsid w:val="00AD25D7"/>
    <w:rsid w:val="00AD260C"/>
    <w:rsid w:val="00AD2624"/>
    <w:rsid w:val="00AD2727"/>
    <w:rsid w:val="00AD292A"/>
    <w:rsid w:val="00AD2B87"/>
    <w:rsid w:val="00AD35F9"/>
    <w:rsid w:val="00AD37C5"/>
    <w:rsid w:val="00AD385B"/>
    <w:rsid w:val="00AD3899"/>
    <w:rsid w:val="00AD3AFC"/>
    <w:rsid w:val="00AD3B55"/>
    <w:rsid w:val="00AD3BA4"/>
    <w:rsid w:val="00AD40F1"/>
    <w:rsid w:val="00AD425D"/>
    <w:rsid w:val="00AD43AD"/>
    <w:rsid w:val="00AD4468"/>
    <w:rsid w:val="00AD4549"/>
    <w:rsid w:val="00AD4659"/>
    <w:rsid w:val="00AD4A56"/>
    <w:rsid w:val="00AD4E31"/>
    <w:rsid w:val="00AD4E41"/>
    <w:rsid w:val="00AD5134"/>
    <w:rsid w:val="00AD561D"/>
    <w:rsid w:val="00AD56BF"/>
    <w:rsid w:val="00AD59BB"/>
    <w:rsid w:val="00AD5A36"/>
    <w:rsid w:val="00AD5A89"/>
    <w:rsid w:val="00AD5B4E"/>
    <w:rsid w:val="00AD5D09"/>
    <w:rsid w:val="00AD60D1"/>
    <w:rsid w:val="00AD61DC"/>
    <w:rsid w:val="00AD63CD"/>
    <w:rsid w:val="00AD64CB"/>
    <w:rsid w:val="00AD65A0"/>
    <w:rsid w:val="00AD67AF"/>
    <w:rsid w:val="00AD689B"/>
    <w:rsid w:val="00AD6B7E"/>
    <w:rsid w:val="00AD6BEC"/>
    <w:rsid w:val="00AD6DBF"/>
    <w:rsid w:val="00AD6E84"/>
    <w:rsid w:val="00AD6FCD"/>
    <w:rsid w:val="00AD718C"/>
    <w:rsid w:val="00AD7435"/>
    <w:rsid w:val="00AD75C3"/>
    <w:rsid w:val="00AD7615"/>
    <w:rsid w:val="00AD76C1"/>
    <w:rsid w:val="00AD76FB"/>
    <w:rsid w:val="00AD77BC"/>
    <w:rsid w:val="00AD7A5C"/>
    <w:rsid w:val="00AD7AFD"/>
    <w:rsid w:val="00AD7B12"/>
    <w:rsid w:val="00AD7BE1"/>
    <w:rsid w:val="00AD7E24"/>
    <w:rsid w:val="00AD7E2F"/>
    <w:rsid w:val="00AD7EE7"/>
    <w:rsid w:val="00AE0071"/>
    <w:rsid w:val="00AE0439"/>
    <w:rsid w:val="00AE0658"/>
    <w:rsid w:val="00AE09E1"/>
    <w:rsid w:val="00AE0B01"/>
    <w:rsid w:val="00AE0D40"/>
    <w:rsid w:val="00AE0F6E"/>
    <w:rsid w:val="00AE1012"/>
    <w:rsid w:val="00AE1033"/>
    <w:rsid w:val="00AE10D1"/>
    <w:rsid w:val="00AE14D0"/>
    <w:rsid w:val="00AE1522"/>
    <w:rsid w:val="00AE1676"/>
    <w:rsid w:val="00AE1711"/>
    <w:rsid w:val="00AE1C77"/>
    <w:rsid w:val="00AE1C7B"/>
    <w:rsid w:val="00AE21E7"/>
    <w:rsid w:val="00AE2639"/>
    <w:rsid w:val="00AE27BF"/>
    <w:rsid w:val="00AE287B"/>
    <w:rsid w:val="00AE28B2"/>
    <w:rsid w:val="00AE297C"/>
    <w:rsid w:val="00AE2BAA"/>
    <w:rsid w:val="00AE2C7E"/>
    <w:rsid w:val="00AE323F"/>
    <w:rsid w:val="00AE326B"/>
    <w:rsid w:val="00AE3398"/>
    <w:rsid w:val="00AE3649"/>
    <w:rsid w:val="00AE3A2D"/>
    <w:rsid w:val="00AE3B99"/>
    <w:rsid w:val="00AE3DE6"/>
    <w:rsid w:val="00AE3E79"/>
    <w:rsid w:val="00AE4247"/>
    <w:rsid w:val="00AE45E9"/>
    <w:rsid w:val="00AE460E"/>
    <w:rsid w:val="00AE465B"/>
    <w:rsid w:val="00AE4824"/>
    <w:rsid w:val="00AE4901"/>
    <w:rsid w:val="00AE4A37"/>
    <w:rsid w:val="00AE4F19"/>
    <w:rsid w:val="00AE4F59"/>
    <w:rsid w:val="00AE509E"/>
    <w:rsid w:val="00AE5283"/>
    <w:rsid w:val="00AE5585"/>
    <w:rsid w:val="00AE55B3"/>
    <w:rsid w:val="00AE56FA"/>
    <w:rsid w:val="00AE5C08"/>
    <w:rsid w:val="00AE5C9D"/>
    <w:rsid w:val="00AE5D09"/>
    <w:rsid w:val="00AE600A"/>
    <w:rsid w:val="00AE608E"/>
    <w:rsid w:val="00AE6480"/>
    <w:rsid w:val="00AE678F"/>
    <w:rsid w:val="00AE6A5A"/>
    <w:rsid w:val="00AE7397"/>
    <w:rsid w:val="00AE74CB"/>
    <w:rsid w:val="00AE7DA0"/>
    <w:rsid w:val="00AF00E8"/>
    <w:rsid w:val="00AF0122"/>
    <w:rsid w:val="00AF01C7"/>
    <w:rsid w:val="00AF0288"/>
    <w:rsid w:val="00AF0496"/>
    <w:rsid w:val="00AF04FA"/>
    <w:rsid w:val="00AF05BD"/>
    <w:rsid w:val="00AF0882"/>
    <w:rsid w:val="00AF0984"/>
    <w:rsid w:val="00AF0A0B"/>
    <w:rsid w:val="00AF0B81"/>
    <w:rsid w:val="00AF0C6F"/>
    <w:rsid w:val="00AF0D57"/>
    <w:rsid w:val="00AF0FB1"/>
    <w:rsid w:val="00AF10E6"/>
    <w:rsid w:val="00AF115E"/>
    <w:rsid w:val="00AF138F"/>
    <w:rsid w:val="00AF1397"/>
    <w:rsid w:val="00AF1425"/>
    <w:rsid w:val="00AF1428"/>
    <w:rsid w:val="00AF1720"/>
    <w:rsid w:val="00AF1B8B"/>
    <w:rsid w:val="00AF1F08"/>
    <w:rsid w:val="00AF2048"/>
    <w:rsid w:val="00AF22FE"/>
    <w:rsid w:val="00AF242E"/>
    <w:rsid w:val="00AF2453"/>
    <w:rsid w:val="00AF24A0"/>
    <w:rsid w:val="00AF24DD"/>
    <w:rsid w:val="00AF259E"/>
    <w:rsid w:val="00AF25EB"/>
    <w:rsid w:val="00AF27CE"/>
    <w:rsid w:val="00AF2B4A"/>
    <w:rsid w:val="00AF335F"/>
    <w:rsid w:val="00AF3741"/>
    <w:rsid w:val="00AF38AD"/>
    <w:rsid w:val="00AF39C5"/>
    <w:rsid w:val="00AF3A78"/>
    <w:rsid w:val="00AF3AA3"/>
    <w:rsid w:val="00AF3CF5"/>
    <w:rsid w:val="00AF3D36"/>
    <w:rsid w:val="00AF3D78"/>
    <w:rsid w:val="00AF3DC4"/>
    <w:rsid w:val="00AF3E97"/>
    <w:rsid w:val="00AF3EF8"/>
    <w:rsid w:val="00AF4111"/>
    <w:rsid w:val="00AF41E6"/>
    <w:rsid w:val="00AF41F9"/>
    <w:rsid w:val="00AF44E4"/>
    <w:rsid w:val="00AF48EB"/>
    <w:rsid w:val="00AF49D3"/>
    <w:rsid w:val="00AF4A18"/>
    <w:rsid w:val="00AF4A7F"/>
    <w:rsid w:val="00AF4F64"/>
    <w:rsid w:val="00AF523E"/>
    <w:rsid w:val="00AF525D"/>
    <w:rsid w:val="00AF5309"/>
    <w:rsid w:val="00AF5404"/>
    <w:rsid w:val="00AF54B8"/>
    <w:rsid w:val="00AF5559"/>
    <w:rsid w:val="00AF5881"/>
    <w:rsid w:val="00AF5C59"/>
    <w:rsid w:val="00AF5D32"/>
    <w:rsid w:val="00AF5D4C"/>
    <w:rsid w:val="00AF5D81"/>
    <w:rsid w:val="00AF5FB4"/>
    <w:rsid w:val="00AF63BC"/>
    <w:rsid w:val="00AF68E5"/>
    <w:rsid w:val="00AF6A42"/>
    <w:rsid w:val="00AF6A7D"/>
    <w:rsid w:val="00AF6D25"/>
    <w:rsid w:val="00AF71A5"/>
    <w:rsid w:val="00AF7267"/>
    <w:rsid w:val="00AF736F"/>
    <w:rsid w:val="00AF7482"/>
    <w:rsid w:val="00AF74A7"/>
    <w:rsid w:val="00AF75CE"/>
    <w:rsid w:val="00AF77E1"/>
    <w:rsid w:val="00AF7ACE"/>
    <w:rsid w:val="00AF7D8D"/>
    <w:rsid w:val="00AF7E29"/>
    <w:rsid w:val="00AF7ED0"/>
    <w:rsid w:val="00B0024D"/>
    <w:rsid w:val="00B00360"/>
    <w:rsid w:val="00B007B7"/>
    <w:rsid w:val="00B0093E"/>
    <w:rsid w:val="00B00941"/>
    <w:rsid w:val="00B0099F"/>
    <w:rsid w:val="00B009F6"/>
    <w:rsid w:val="00B00C4C"/>
    <w:rsid w:val="00B010E9"/>
    <w:rsid w:val="00B01388"/>
    <w:rsid w:val="00B0157F"/>
    <w:rsid w:val="00B0159E"/>
    <w:rsid w:val="00B0167A"/>
    <w:rsid w:val="00B0187A"/>
    <w:rsid w:val="00B01BA9"/>
    <w:rsid w:val="00B01C98"/>
    <w:rsid w:val="00B01FA2"/>
    <w:rsid w:val="00B01FC6"/>
    <w:rsid w:val="00B020C6"/>
    <w:rsid w:val="00B0212E"/>
    <w:rsid w:val="00B023A9"/>
    <w:rsid w:val="00B025C6"/>
    <w:rsid w:val="00B03087"/>
    <w:rsid w:val="00B035C6"/>
    <w:rsid w:val="00B03887"/>
    <w:rsid w:val="00B03AA8"/>
    <w:rsid w:val="00B03B2C"/>
    <w:rsid w:val="00B03E00"/>
    <w:rsid w:val="00B03F05"/>
    <w:rsid w:val="00B040AE"/>
    <w:rsid w:val="00B041A4"/>
    <w:rsid w:val="00B04540"/>
    <w:rsid w:val="00B04DBB"/>
    <w:rsid w:val="00B05072"/>
    <w:rsid w:val="00B050DC"/>
    <w:rsid w:val="00B05150"/>
    <w:rsid w:val="00B0579C"/>
    <w:rsid w:val="00B0585D"/>
    <w:rsid w:val="00B05CE2"/>
    <w:rsid w:val="00B05D87"/>
    <w:rsid w:val="00B061CA"/>
    <w:rsid w:val="00B06259"/>
    <w:rsid w:val="00B06265"/>
    <w:rsid w:val="00B065EE"/>
    <w:rsid w:val="00B06686"/>
    <w:rsid w:val="00B06830"/>
    <w:rsid w:val="00B06BB9"/>
    <w:rsid w:val="00B06C22"/>
    <w:rsid w:val="00B06F33"/>
    <w:rsid w:val="00B070C6"/>
    <w:rsid w:val="00B071CA"/>
    <w:rsid w:val="00B07329"/>
    <w:rsid w:val="00B0752E"/>
    <w:rsid w:val="00B07573"/>
    <w:rsid w:val="00B07737"/>
    <w:rsid w:val="00B07806"/>
    <w:rsid w:val="00B07A11"/>
    <w:rsid w:val="00B07C0F"/>
    <w:rsid w:val="00B10199"/>
    <w:rsid w:val="00B10292"/>
    <w:rsid w:val="00B107F0"/>
    <w:rsid w:val="00B10E44"/>
    <w:rsid w:val="00B10F2A"/>
    <w:rsid w:val="00B10F42"/>
    <w:rsid w:val="00B11AAB"/>
    <w:rsid w:val="00B11AE1"/>
    <w:rsid w:val="00B11C61"/>
    <w:rsid w:val="00B11CD8"/>
    <w:rsid w:val="00B124D9"/>
    <w:rsid w:val="00B1254D"/>
    <w:rsid w:val="00B12827"/>
    <w:rsid w:val="00B12A2E"/>
    <w:rsid w:val="00B12BDF"/>
    <w:rsid w:val="00B13272"/>
    <w:rsid w:val="00B132CB"/>
    <w:rsid w:val="00B13360"/>
    <w:rsid w:val="00B13554"/>
    <w:rsid w:val="00B13601"/>
    <w:rsid w:val="00B1388D"/>
    <w:rsid w:val="00B13C54"/>
    <w:rsid w:val="00B13DA7"/>
    <w:rsid w:val="00B13EE8"/>
    <w:rsid w:val="00B1408E"/>
    <w:rsid w:val="00B14534"/>
    <w:rsid w:val="00B14A76"/>
    <w:rsid w:val="00B15524"/>
    <w:rsid w:val="00B15769"/>
    <w:rsid w:val="00B15A7E"/>
    <w:rsid w:val="00B15CD8"/>
    <w:rsid w:val="00B15DBC"/>
    <w:rsid w:val="00B16359"/>
    <w:rsid w:val="00B16807"/>
    <w:rsid w:val="00B1697F"/>
    <w:rsid w:val="00B16A74"/>
    <w:rsid w:val="00B16CD6"/>
    <w:rsid w:val="00B172FE"/>
    <w:rsid w:val="00B17345"/>
    <w:rsid w:val="00B177D1"/>
    <w:rsid w:val="00B17C11"/>
    <w:rsid w:val="00B200E5"/>
    <w:rsid w:val="00B20912"/>
    <w:rsid w:val="00B2097D"/>
    <w:rsid w:val="00B20A11"/>
    <w:rsid w:val="00B20D84"/>
    <w:rsid w:val="00B21078"/>
    <w:rsid w:val="00B21121"/>
    <w:rsid w:val="00B211A8"/>
    <w:rsid w:val="00B21237"/>
    <w:rsid w:val="00B21473"/>
    <w:rsid w:val="00B2165E"/>
    <w:rsid w:val="00B218EF"/>
    <w:rsid w:val="00B21A96"/>
    <w:rsid w:val="00B221FB"/>
    <w:rsid w:val="00B224D0"/>
    <w:rsid w:val="00B22536"/>
    <w:rsid w:val="00B22661"/>
    <w:rsid w:val="00B226BD"/>
    <w:rsid w:val="00B228CB"/>
    <w:rsid w:val="00B22C6A"/>
    <w:rsid w:val="00B230EF"/>
    <w:rsid w:val="00B2316B"/>
    <w:rsid w:val="00B2322C"/>
    <w:rsid w:val="00B237D8"/>
    <w:rsid w:val="00B23AFC"/>
    <w:rsid w:val="00B23BF2"/>
    <w:rsid w:val="00B23BFD"/>
    <w:rsid w:val="00B23C2C"/>
    <w:rsid w:val="00B24398"/>
    <w:rsid w:val="00B246BB"/>
    <w:rsid w:val="00B25B18"/>
    <w:rsid w:val="00B25B52"/>
    <w:rsid w:val="00B25D03"/>
    <w:rsid w:val="00B25E98"/>
    <w:rsid w:val="00B25FF3"/>
    <w:rsid w:val="00B262DB"/>
    <w:rsid w:val="00B266CE"/>
    <w:rsid w:val="00B26745"/>
    <w:rsid w:val="00B26757"/>
    <w:rsid w:val="00B2682E"/>
    <w:rsid w:val="00B26B94"/>
    <w:rsid w:val="00B26C67"/>
    <w:rsid w:val="00B270A5"/>
    <w:rsid w:val="00B271FC"/>
    <w:rsid w:val="00B27251"/>
    <w:rsid w:val="00B272B7"/>
    <w:rsid w:val="00B27312"/>
    <w:rsid w:val="00B277CC"/>
    <w:rsid w:val="00B27967"/>
    <w:rsid w:val="00B27A3A"/>
    <w:rsid w:val="00B27AB1"/>
    <w:rsid w:val="00B27BE0"/>
    <w:rsid w:val="00B27BE8"/>
    <w:rsid w:val="00B27CAF"/>
    <w:rsid w:val="00B3012F"/>
    <w:rsid w:val="00B302C9"/>
    <w:rsid w:val="00B302ED"/>
    <w:rsid w:val="00B30302"/>
    <w:rsid w:val="00B304F0"/>
    <w:rsid w:val="00B30658"/>
    <w:rsid w:val="00B30BDF"/>
    <w:rsid w:val="00B30C74"/>
    <w:rsid w:val="00B30F4F"/>
    <w:rsid w:val="00B31004"/>
    <w:rsid w:val="00B310B7"/>
    <w:rsid w:val="00B312E2"/>
    <w:rsid w:val="00B31328"/>
    <w:rsid w:val="00B31441"/>
    <w:rsid w:val="00B3163D"/>
    <w:rsid w:val="00B317F6"/>
    <w:rsid w:val="00B31C72"/>
    <w:rsid w:val="00B31F11"/>
    <w:rsid w:val="00B3265A"/>
    <w:rsid w:val="00B329A3"/>
    <w:rsid w:val="00B32CC6"/>
    <w:rsid w:val="00B33090"/>
    <w:rsid w:val="00B33102"/>
    <w:rsid w:val="00B3312B"/>
    <w:rsid w:val="00B331D7"/>
    <w:rsid w:val="00B33786"/>
    <w:rsid w:val="00B337B5"/>
    <w:rsid w:val="00B33902"/>
    <w:rsid w:val="00B33FF2"/>
    <w:rsid w:val="00B34429"/>
    <w:rsid w:val="00B3450E"/>
    <w:rsid w:val="00B34641"/>
    <w:rsid w:val="00B34858"/>
    <w:rsid w:val="00B34870"/>
    <w:rsid w:val="00B3491D"/>
    <w:rsid w:val="00B34A31"/>
    <w:rsid w:val="00B34F57"/>
    <w:rsid w:val="00B34F83"/>
    <w:rsid w:val="00B351C5"/>
    <w:rsid w:val="00B35522"/>
    <w:rsid w:val="00B3573E"/>
    <w:rsid w:val="00B35B20"/>
    <w:rsid w:val="00B36650"/>
    <w:rsid w:val="00B36B59"/>
    <w:rsid w:val="00B36D38"/>
    <w:rsid w:val="00B36D9F"/>
    <w:rsid w:val="00B36E34"/>
    <w:rsid w:val="00B36FA1"/>
    <w:rsid w:val="00B37169"/>
    <w:rsid w:val="00B37217"/>
    <w:rsid w:val="00B373F3"/>
    <w:rsid w:val="00B37583"/>
    <w:rsid w:val="00B37689"/>
    <w:rsid w:val="00B37B5E"/>
    <w:rsid w:val="00B37BF9"/>
    <w:rsid w:val="00B37CDB"/>
    <w:rsid w:val="00B37D2B"/>
    <w:rsid w:val="00B37FC9"/>
    <w:rsid w:val="00B4001E"/>
    <w:rsid w:val="00B40309"/>
    <w:rsid w:val="00B4094C"/>
    <w:rsid w:val="00B4098C"/>
    <w:rsid w:val="00B40C1B"/>
    <w:rsid w:val="00B40CFF"/>
    <w:rsid w:val="00B40EE2"/>
    <w:rsid w:val="00B411F2"/>
    <w:rsid w:val="00B4161A"/>
    <w:rsid w:val="00B41668"/>
    <w:rsid w:val="00B41810"/>
    <w:rsid w:val="00B420D0"/>
    <w:rsid w:val="00B422B0"/>
    <w:rsid w:val="00B42630"/>
    <w:rsid w:val="00B42697"/>
    <w:rsid w:val="00B427BA"/>
    <w:rsid w:val="00B42D5D"/>
    <w:rsid w:val="00B4317C"/>
    <w:rsid w:val="00B4359C"/>
    <w:rsid w:val="00B43671"/>
    <w:rsid w:val="00B43969"/>
    <w:rsid w:val="00B43B94"/>
    <w:rsid w:val="00B43C8F"/>
    <w:rsid w:val="00B43F8C"/>
    <w:rsid w:val="00B43FD8"/>
    <w:rsid w:val="00B4415C"/>
    <w:rsid w:val="00B443C6"/>
    <w:rsid w:val="00B44587"/>
    <w:rsid w:val="00B44DF0"/>
    <w:rsid w:val="00B45009"/>
    <w:rsid w:val="00B45047"/>
    <w:rsid w:val="00B45432"/>
    <w:rsid w:val="00B458A7"/>
    <w:rsid w:val="00B4599C"/>
    <w:rsid w:val="00B45AB9"/>
    <w:rsid w:val="00B46244"/>
    <w:rsid w:val="00B46301"/>
    <w:rsid w:val="00B46A58"/>
    <w:rsid w:val="00B46B1C"/>
    <w:rsid w:val="00B46C64"/>
    <w:rsid w:val="00B46C81"/>
    <w:rsid w:val="00B46D2C"/>
    <w:rsid w:val="00B46D31"/>
    <w:rsid w:val="00B46DCF"/>
    <w:rsid w:val="00B46E2E"/>
    <w:rsid w:val="00B46EDB"/>
    <w:rsid w:val="00B46FA5"/>
    <w:rsid w:val="00B47060"/>
    <w:rsid w:val="00B4793E"/>
    <w:rsid w:val="00B4795D"/>
    <w:rsid w:val="00B47D2A"/>
    <w:rsid w:val="00B5005E"/>
    <w:rsid w:val="00B50234"/>
    <w:rsid w:val="00B5033A"/>
    <w:rsid w:val="00B50440"/>
    <w:rsid w:val="00B50481"/>
    <w:rsid w:val="00B50517"/>
    <w:rsid w:val="00B507DE"/>
    <w:rsid w:val="00B50887"/>
    <w:rsid w:val="00B509C6"/>
    <w:rsid w:val="00B50A0F"/>
    <w:rsid w:val="00B50B7E"/>
    <w:rsid w:val="00B50C44"/>
    <w:rsid w:val="00B50C80"/>
    <w:rsid w:val="00B50E7F"/>
    <w:rsid w:val="00B50ED7"/>
    <w:rsid w:val="00B50F70"/>
    <w:rsid w:val="00B516AC"/>
    <w:rsid w:val="00B519D0"/>
    <w:rsid w:val="00B52049"/>
    <w:rsid w:val="00B52083"/>
    <w:rsid w:val="00B5217B"/>
    <w:rsid w:val="00B52811"/>
    <w:rsid w:val="00B52BBA"/>
    <w:rsid w:val="00B52D1E"/>
    <w:rsid w:val="00B52F8B"/>
    <w:rsid w:val="00B5303E"/>
    <w:rsid w:val="00B533F0"/>
    <w:rsid w:val="00B5390D"/>
    <w:rsid w:val="00B5392E"/>
    <w:rsid w:val="00B53A33"/>
    <w:rsid w:val="00B53D01"/>
    <w:rsid w:val="00B53F21"/>
    <w:rsid w:val="00B5408D"/>
    <w:rsid w:val="00B542F7"/>
    <w:rsid w:val="00B54518"/>
    <w:rsid w:val="00B547C7"/>
    <w:rsid w:val="00B547E2"/>
    <w:rsid w:val="00B54948"/>
    <w:rsid w:val="00B549CF"/>
    <w:rsid w:val="00B54F71"/>
    <w:rsid w:val="00B55C15"/>
    <w:rsid w:val="00B55DAA"/>
    <w:rsid w:val="00B55EBB"/>
    <w:rsid w:val="00B562A2"/>
    <w:rsid w:val="00B56632"/>
    <w:rsid w:val="00B5683B"/>
    <w:rsid w:val="00B56A7A"/>
    <w:rsid w:val="00B56B9E"/>
    <w:rsid w:val="00B575E6"/>
    <w:rsid w:val="00B576A9"/>
    <w:rsid w:val="00B57973"/>
    <w:rsid w:val="00B57977"/>
    <w:rsid w:val="00B57C34"/>
    <w:rsid w:val="00B57CC2"/>
    <w:rsid w:val="00B57F93"/>
    <w:rsid w:val="00B60343"/>
    <w:rsid w:val="00B60811"/>
    <w:rsid w:val="00B60819"/>
    <w:rsid w:val="00B608D3"/>
    <w:rsid w:val="00B60D04"/>
    <w:rsid w:val="00B60D82"/>
    <w:rsid w:val="00B60F56"/>
    <w:rsid w:val="00B6121D"/>
    <w:rsid w:val="00B61697"/>
    <w:rsid w:val="00B616E1"/>
    <w:rsid w:val="00B618AC"/>
    <w:rsid w:val="00B61AA4"/>
    <w:rsid w:val="00B62180"/>
    <w:rsid w:val="00B6222D"/>
    <w:rsid w:val="00B622D9"/>
    <w:rsid w:val="00B624E7"/>
    <w:rsid w:val="00B62A85"/>
    <w:rsid w:val="00B62B7E"/>
    <w:rsid w:val="00B62C6F"/>
    <w:rsid w:val="00B62CCD"/>
    <w:rsid w:val="00B630E5"/>
    <w:rsid w:val="00B63286"/>
    <w:rsid w:val="00B6345F"/>
    <w:rsid w:val="00B63760"/>
    <w:rsid w:val="00B637AE"/>
    <w:rsid w:val="00B63A98"/>
    <w:rsid w:val="00B63C7C"/>
    <w:rsid w:val="00B63D3B"/>
    <w:rsid w:val="00B63E09"/>
    <w:rsid w:val="00B63EC0"/>
    <w:rsid w:val="00B63FCD"/>
    <w:rsid w:val="00B64140"/>
    <w:rsid w:val="00B6416B"/>
    <w:rsid w:val="00B642C5"/>
    <w:rsid w:val="00B64440"/>
    <w:rsid w:val="00B64774"/>
    <w:rsid w:val="00B64DA3"/>
    <w:rsid w:val="00B64DA4"/>
    <w:rsid w:val="00B64E1B"/>
    <w:rsid w:val="00B64F5B"/>
    <w:rsid w:val="00B64FF1"/>
    <w:rsid w:val="00B65483"/>
    <w:rsid w:val="00B656E9"/>
    <w:rsid w:val="00B65745"/>
    <w:rsid w:val="00B6575C"/>
    <w:rsid w:val="00B65977"/>
    <w:rsid w:val="00B65AF5"/>
    <w:rsid w:val="00B65DE0"/>
    <w:rsid w:val="00B65FD3"/>
    <w:rsid w:val="00B66A7A"/>
    <w:rsid w:val="00B66E32"/>
    <w:rsid w:val="00B671AC"/>
    <w:rsid w:val="00B672DC"/>
    <w:rsid w:val="00B673D4"/>
    <w:rsid w:val="00B67774"/>
    <w:rsid w:val="00B67C96"/>
    <w:rsid w:val="00B67F6C"/>
    <w:rsid w:val="00B7092A"/>
    <w:rsid w:val="00B70C42"/>
    <w:rsid w:val="00B70FCB"/>
    <w:rsid w:val="00B71367"/>
    <w:rsid w:val="00B718DA"/>
    <w:rsid w:val="00B71C9B"/>
    <w:rsid w:val="00B71F8E"/>
    <w:rsid w:val="00B725B0"/>
    <w:rsid w:val="00B72679"/>
    <w:rsid w:val="00B72798"/>
    <w:rsid w:val="00B728C1"/>
    <w:rsid w:val="00B7296D"/>
    <w:rsid w:val="00B729B1"/>
    <w:rsid w:val="00B72CD5"/>
    <w:rsid w:val="00B72F87"/>
    <w:rsid w:val="00B730A5"/>
    <w:rsid w:val="00B732BE"/>
    <w:rsid w:val="00B73443"/>
    <w:rsid w:val="00B7346F"/>
    <w:rsid w:val="00B736B5"/>
    <w:rsid w:val="00B73837"/>
    <w:rsid w:val="00B7386D"/>
    <w:rsid w:val="00B73A00"/>
    <w:rsid w:val="00B73B89"/>
    <w:rsid w:val="00B741B1"/>
    <w:rsid w:val="00B74281"/>
    <w:rsid w:val="00B745A4"/>
    <w:rsid w:val="00B748A0"/>
    <w:rsid w:val="00B74B6A"/>
    <w:rsid w:val="00B74EC9"/>
    <w:rsid w:val="00B7509B"/>
    <w:rsid w:val="00B750B2"/>
    <w:rsid w:val="00B7519C"/>
    <w:rsid w:val="00B75608"/>
    <w:rsid w:val="00B756EB"/>
    <w:rsid w:val="00B757A4"/>
    <w:rsid w:val="00B75B5E"/>
    <w:rsid w:val="00B75D81"/>
    <w:rsid w:val="00B75ED4"/>
    <w:rsid w:val="00B75FA4"/>
    <w:rsid w:val="00B7620F"/>
    <w:rsid w:val="00B763CE"/>
    <w:rsid w:val="00B76613"/>
    <w:rsid w:val="00B7663A"/>
    <w:rsid w:val="00B766FC"/>
    <w:rsid w:val="00B76CBD"/>
    <w:rsid w:val="00B772DD"/>
    <w:rsid w:val="00B7746E"/>
    <w:rsid w:val="00B777A7"/>
    <w:rsid w:val="00B777C0"/>
    <w:rsid w:val="00B77C94"/>
    <w:rsid w:val="00B800AD"/>
    <w:rsid w:val="00B800D4"/>
    <w:rsid w:val="00B801EF"/>
    <w:rsid w:val="00B8070B"/>
    <w:rsid w:val="00B8077D"/>
    <w:rsid w:val="00B80B42"/>
    <w:rsid w:val="00B80DD0"/>
    <w:rsid w:val="00B8102D"/>
    <w:rsid w:val="00B81588"/>
    <w:rsid w:val="00B819C9"/>
    <w:rsid w:val="00B825BC"/>
    <w:rsid w:val="00B82637"/>
    <w:rsid w:val="00B82AE2"/>
    <w:rsid w:val="00B82C79"/>
    <w:rsid w:val="00B82DC7"/>
    <w:rsid w:val="00B83419"/>
    <w:rsid w:val="00B83621"/>
    <w:rsid w:val="00B83943"/>
    <w:rsid w:val="00B83950"/>
    <w:rsid w:val="00B83B87"/>
    <w:rsid w:val="00B83E5F"/>
    <w:rsid w:val="00B83E7E"/>
    <w:rsid w:val="00B8428D"/>
    <w:rsid w:val="00B845A4"/>
    <w:rsid w:val="00B847BB"/>
    <w:rsid w:val="00B84D24"/>
    <w:rsid w:val="00B84DE7"/>
    <w:rsid w:val="00B84E25"/>
    <w:rsid w:val="00B85036"/>
    <w:rsid w:val="00B8528C"/>
    <w:rsid w:val="00B85300"/>
    <w:rsid w:val="00B8535C"/>
    <w:rsid w:val="00B85498"/>
    <w:rsid w:val="00B854BF"/>
    <w:rsid w:val="00B855A2"/>
    <w:rsid w:val="00B85C9C"/>
    <w:rsid w:val="00B85EC4"/>
    <w:rsid w:val="00B85F32"/>
    <w:rsid w:val="00B8606C"/>
    <w:rsid w:val="00B860DB"/>
    <w:rsid w:val="00B860E6"/>
    <w:rsid w:val="00B8666B"/>
    <w:rsid w:val="00B8687B"/>
    <w:rsid w:val="00B86F0D"/>
    <w:rsid w:val="00B870A6"/>
    <w:rsid w:val="00B87413"/>
    <w:rsid w:val="00B87712"/>
    <w:rsid w:val="00B87883"/>
    <w:rsid w:val="00B87D58"/>
    <w:rsid w:val="00B87D66"/>
    <w:rsid w:val="00B90041"/>
    <w:rsid w:val="00B90110"/>
    <w:rsid w:val="00B90164"/>
    <w:rsid w:val="00B90604"/>
    <w:rsid w:val="00B907A9"/>
    <w:rsid w:val="00B90A74"/>
    <w:rsid w:val="00B91295"/>
    <w:rsid w:val="00B91460"/>
    <w:rsid w:val="00B9168F"/>
    <w:rsid w:val="00B91A91"/>
    <w:rsid w:val="00B91ACF"/>
    <w:rsid w:val="00B92201"/>
    <w:rsid w:val="00B92430"/>
    <w:rsid w:val="00B9271A"/>
    <w:rsid w:val="00B9275A"/>
    <w:rsid w:val="00B92913"/>
    <w:rsid w:val="00B92A2F"/>
    <w:rsid w:val="00B92A76"/>
    <w:rsid w:val="00B92A85"/>
    <w:rsid w:val="00B930D7"/>
    <w:rsid w:val="00B93A97"/>
    <w:rsid w:val="00B93FCD"/>
    <w:rsid w:val="00B94084"/>
    <w:rsid w:val="00B944A4"/>
    <w:rsid w:val="00B9496E"/>
    <w:rsid w:val="00B94AF6"/>
    <w:rsid w:val="00B94FF3"/>
    <w:rsid w:val="00B95092"/>
    <w:rsid w:val="00B9533C"/>
    <w:rsid w:val="00B95938"/>
    <w:rsid w:val="00B9595C"/>
    <w:rsid w:val="00B95985"/>
    <w:rsid w:val="00B95C51"/>
    <w:rsid w:val="00B95F72"/>
    <w:rsid w:val="00B962DE"/>
    <w:rsid w:val="00B963AB"/>
    <w:rsid w:val="00B9669E"/>
    <w:rsid w:val="00B9683A"/>
    <w:rsid w:val="00B96F84"/>
    <w:rsid w:val="00B96FFA"/>
    <w:rsid w:val="00B97259"/>
    <w:rsid w:val="00B97510"/>
    <w:rsid w:val="00B97635"/>
    <w:rsid w:val="00B978FD"/>
    <w:rsid w:val="00B97ACA"/>
    <w:rsid w:val="00BA06A3"/>
    <w:rsid w:val="00BA08AE"/>
    <w:rsid w:val="00BA0E50"/>
    <w:rsid w:val="00BA0E63"/>
    <w:rsid w:val="00BA0EAC"/>
    <w:rsid w:val="00BA0F54"/>
    <w:rsid w:val="00BA123E"/>
    <w:rsid w:val="00BA137A"/>
    <w:rsid w:val="00BA1670"/>
    <w:rsid w:val="00BA1764"/>
    <w:rsid w:val="00BA180E"/>
    <w:rsid w:val="00BA1820"/>
    <w:rsid w:val="00BA1904"/>
    <w:rsid w:val="00BA1B87"/>
    <w:rsid w:val="00BA1C8F"/>
    <w:rsid w:val="00BA1E1C"/>
    <w:rsid w:val="00BA1F28"/>
    <w:rsid w:val="00BA1FF3"/>
    <w:rsid w:val="00BA21EC"/>
    <w:rsid w:val="00BA2278"/>
    <w:rsid w:val="00BA23CD"/>
    <w:rsid w:val="00BA25C9"/>
    <w:rsid w:val="00BA2AC6"/>
    <w:rsid w:val="00BA2BCC"/>
    <w:rsid w:val="00BA2DF6"/>
    <w:rsid w:val="00BA2EDB"/>
    <w:rsid w:val="00BA2EF6"/>
    <w:rsid w:val="00BA303D"/>
    <w:rsid w:val="00BA3096"/>
    <w:rsid w:val="00BA318B"/>
    <w:rsid w:val="00BA3233"/>
    <w:rsid w:val="00BA358A"/>
    <w:rsid w:val="00BA3592"/>
    <w:rsid w:val="00BA35B4"/>
    <w:rsid w:val="00BA3628"/>
    <w:rsid w:val="00BA368A"/>
    <w:rsid w:val="00BA37CB"/>
    <w:rsid w:val="00BA37D1"/>
    <w:rsid w:val="00BA38B0"/>
    <w:rsid w:val="00BA3B04"/>
    <w:rsid w:val="00BA3D61"/>
    <w:rsid w:val="00BA3D89"/>
    <w:rsid w:val="00BA3E4E"/>
    <w:rsid w:val="00BA4512"/>
    <w:rsid w:val="00BA4597"/>
    <w:rsid w:val="00BA48C8"/>
    <w:rsid w:val="00BA4D02"/>
    <w:rsid w:val="00BA4E1C"/>
    <w:rsid w:val="00BA506F"/>
    <w:rsid w:val="00BA517F"/>
    <w:rsid w:val="00BA56BA"/>
    <w:rsid w:val="00BA5E70"/>
    <w:rsid w:val="00BA5F7F"/>
    <w:rsid w:val="00BA629D"/>
    <w:rsid w:val="00BA6378"/>
    <w:rsid w:val="00BA6416"/>
    <w:rsid w:val="00BA65CF"/>
    <w:rsid w:val="00BA6861"/>
    <w:rsid w:val="00BA6D00"/>
    <w:rsid w:val="00BA6D7E"/>
    <w:rsid w:val="00BA6F87"/>
    <w:rsid w:val="00BA71B4"/>
    <w:rsid w:val="00BA72BB"/>
    <w:rsid w:val="00BA73C8"/>
    <w:rsid w:val="00BA7633"/>
    <w:rsid w:val="00BA79F3"/>
    <w:rsid w:val="00BA7A20"/>
    <w:rsid w:val="00BA7A42"/>
    <w:rsid w:val="00BA7CE2"/>
    <w:rsid w:val="00BA7F0D"/>
    <w:rsid w:val="00BB0001"/>
    <w:rsid w:val="00BB009F"/>
    <w:rsid w:val="00BB0256"/>
    <w:rsid w:val="00BB074A"/>
    <w:rsid w:val="00BB07CE"/>
    <w:rsid w:val="00BB07E9"/>
    <w:rsid w:val="00BB0A1D"/>
    <w:rsid w:val="00BB0A6F"/>
    <w:rsid w:val="00BB0AB5"/>
    <w:rsid w:val="00BB0BE8"/>
    <w:rsid w:val="00BB0CD1"/>
    <w:rsid w:val="00BB0DD1"/>
    <w:rsid w:val="00BB185E"/>
    <w:rsid w:val="00BB1DF4"/>
    <w:rsid w:val="00BB2102"/>
    <w:rsid w:val="00BB2494"/>
    <w:rsid w:val="00BB2723"/>
    <w:rsid w:val="00BB2C3E"/>
    <w:rsid w:val="00BB3629"/>
    <w:rsid w:val="00BB365B"/>
    <w:rsid w:val="00BB39BE"/>
    <w:rsid w:val="00BB3F6C"/>
    <w:rsid w:val="00BB40B8"/>
    <w:rsid w:val="00BB4440"/>
    <w:rsid w:val="00BB4498"/>
    <w:rsid w:val="00BB451D"/>
    <w:rsid w:val="00BB459F"/>
    <w:rsid w:val="00BB4C43"/>
    <w:rsid w:val="00BB4DB4"/>
    <w:rsid w:val="00BB4FC5"/>
    <w:rsid w:val="00BB5A47"/>
    <w:rsid w:val="00BB5ED1"/>
    <w:rsid w:val="00BB5EF0"/>
    <w:rsid w:val="00BB5FBB"/>
    <w:rsid w:val="00BB6685"/>
    <w:rsid w:val="00BB6978"/>
    <w:rsid w:val="00BB6A14"/>
    <w:rsid w:val="00BB6C96"/>
    <w:rsid w:val="00BB7126"/>
    <w:rsid w:val="00BB7717"/>
    <w:rsid w:val="00BB7757"/>
    <w:rsid w:val="00BB78EE"/>
    <w:rsid w:val="00BB7B08"/>
    <w:rsid w:val="00BB7B64"/>
    <w:rsid w:val="00BB7D48"/>
    <w:rsid w:val="00BB7D9C"/>
    <w:rsid w:val="00BB7DEB"/>
    <w:rsid w:val="00BB7E64"/>
    <w:rsid w:val="00BB7EFB"/>
    <w:rsid w:val="00BC0589"/>
    <w:rsid w:val="00BC0B57"/>
    <w:rsid w:val="00BC11BB"/>
    <w:rsid w:val="00BC1230"/>
    <w:rsid w:val="00BC1767"/>
    <w:rsid w:val="00BC19AF"/>
    <w:rsid w:val="00BC1F80"/>
    <w:rsid w:val="00BC2022"/>
    <w:rsid w:val="00BC211D"/>
    <w:rsid w:val="00BC2274"/>
    <w:rsid w:val="00BC2294"/>
    <w:rsid w:val="00BC2300"/>
    <w:rsid w:val="00BC237C"/>
    <w:rsid w:val="00BC264D"/>
    <w:rsid w:val="00BC26A8"/>
    <w:rsid w:val="00BC29E1"/>
    <w:rsid w:val="00BC2BAD"/>
    <w:rsid w:val="00BC33AA"/>
    <w:rsid w:val="00BC34EF"/>
    <w:rsid w:val="00BC37EB"/>
    <w:rsid w:val="00BC3B28"/>
    <w:rsid w:val="00BC3B90"/>
    <w:rsid w:val="00BC3BA8"/>
    <w:rsid w:val="00BC3C6C"/>
    <w:rsid w:val="00BC3F60"/>
    <w:rsid w:val="00BC408A"/>
    <w:rsid w:val="00BC422E"/>
    <w:rsid w:val="00BC43A4"/>
    <w:rsid w:val="00BC45BA"/>
    <w:rsid w:val="00BC4633"/>
    <w:rsid w:val="00BC478B"/>
    <w:rsid w:val="00BC49AC"/>
    <w:rsid w:val="00BC4DE4"/>
    <w:rsid w:val="00BC5075"/>
    <w:rsid w:val="00BC5095"/>
    <w:rsid w:val="00BC51C0"/>
    <w:rsid w:val="00BC52B1"/>
    <w:rsid w:val="00BC5642"/>
    <w:rsid w:val="00BC5A2E"/>
    <w:rsid w:val="00BC63F3"/>
    <w:rsid w:val="00BC653E"/>
    <w:rsid w:val="00BC65FE"/>
    <w:rsid w:val="00BC680A"/>
    <w:rsid w:val="00BC6946"/>
    <w:rsid w:val="00BC6D40"/>
    <w:rsid w:val="00BC6ECA"/>
    <w:rsid w:val="00BC7113"/>
    <w:rsid w:val="00BC7737"/>
    <w:rsid w:val="00BC78E2"/>
    <w:rsid w:val="00BD0422"/>
    <w:rsid w:val="00BD0546"/>
    <w:rsid w:val="00BD0833"/>
    <w:rsid w:val="00BD0913"/>
    <w:rsid w:val="00BD09D1"/>
    <w:rsid w:val="00BD0DFA"/>
    <w:rsid w:val="00BD127D"/>
    <w:rsid w:val="00BD1A3E"/>
    <w:rsid w:val="00BD1B0E"/>
    <w:rsid w:val="00BD1BD2"/>
    <w:rsid w:val="00BD1EC0"/>
    <w:rsid w:val="00BD20A8"/>
    <w:rsid w:val="00BD21B8"/>
    <w:rsid w:val="00BD22B9"/>
    <w:rsid w:val="00BD2342"/>
    <w:rsid w:val="00BD23EE"/>
    <w:rsid w:val="00BD318E"/>
    <w:rsid w:val="00BD323E"/>
    <w:rsid w:val="00BD32B0"/>
    <w:rsid w:val="00BD35D4"/>
    <w:rsid w:val="00BD4356"/>
    <w:rsid w:val="00BD4676"/>
    <w:rsid w:val="00BD489A"/>
    <w:rsid w:val="00BD48EE"/>
    <w:rsid w:val="00BD4DC9"/>
    <w:rsid w:val="00BD4E1E"/>
    <w:rsid w:val="00BD4E6F"/>
    <w:rsid w:val="00BD513B"/>
    <w:rsid w:val="00BD532C"/>
    <w:rsid w:val="00BD548A"/>
    <w:rsid w:val="00BD558F"/>
    <w:rsid w:val="00BD5604"/>
    <w:rsid w:val="00BD57CB"/>
    <w:rsid w:val="00BD5914"/>
    <w:rsid w:val="00BD59C7"/>
    <w:rsid w:val="00BD5DF5"/>
    <w:rsid w:val="00BD5F11"/>
    <w:rsid w:val="00BD5FEC"/>
    <w:rsid w:val="00BD6149"/>
    <w:rsid w:val="00BD6341"/>
    <w:rsid w:val="00BD661C"/>
    <w:rsid w:val="00BD6702"/>
    <w:rsid w:val="00BD68F8"/>
    <w:rsid w:val="00BD6939"/>
    <w:rsid w:val="00BD6A67"/>
    <w:rsid w:val="00BD7A7C"/>
    <w:rsid w:val="00BD7C79"/>
    <w:rsid w:val="00BD7EB7"/>
    <w:rsid w:val="00BE009C"/>
    <w:rsid w:val="00BE00E1"/>
    <w:rsid w:val="00BE030D"/>
    <w:rsid w:val="00BE043D"/>
    <w:rsid w:val="00BE0469"/>
    <w:rsid w:val="00BE094C"/>
    <w:rsid w:val="00BE0A9A"/>
    <w:rsid w:val="00BE0E3E"/>
    <w:rsid w:val="00BE0E8A"/>
    <w:rsid w:val="00BE1557"/>
    <w:rsid w:val="00BE16B9"/>
    <w:rsid w:val="00BE1D60"/>
    <w:rsid w:val="00BE1DF1"/>
    <w:rsid w:val="00BE20A6"/>
    <w:rsid w:val="00BE2198"/>
    <w:rsid w:val="00BE22B2"/>
    <w:rsid w:val="00BE2505"/>
    <w:rsid w:val="00BE2654"/>
    <w:rsid w:val="00BE2A99"/>
    <w:rsid w:val="00BE2B21"/>
    <w:rsid w:val="00BE2B4F"/>
    <w:rsid w:val="00BE2C30"/>
    <w:rsid w:val="00BE3051"/>
    <w:rsid w:val="00BE3058"/>
    <w:rsid w:val="00BE307F"/>
    <w:rsid w:val="00BE30CB"/>
    <w:rsid w:val="00BE34CF"/>
    <w:rsid w:val="00BE35E7"/>
    <w:rsid w:val="00BE3876"/>
    <w:rsid w:val="00BE3ADF"/>
    <w:rsid w:val="00BE3BE5"/>
    <w:rsid w:val="00BE3CDB"/>
    <w:rsid w:val="00BE3CFF"/>
    <w:rsid w:val="00BE3E1E"/>
    <w:rsid w:val="00BE40FB"/>
    <w:rsid w:val="00BE44EC"/>
    <w:rsid w:val="00BE465E"/>
    <w:rsid w:val="00BE47D7"/>
    <w:rsid w:val="00BE489F"/>
    <w:rsid w:val="00BE48DE"/>
    <w:rsid w:val="00BE4A92"/>
    <w:rsid w:val="00BE4B59"/>
    <w:rsid w:val="00BE4E13"/>
    <w:rsid w:val="00BE519A"/>
    <w:rsid w:val="00BE5222"/>
    <w:rsid w:val="00BE5945"/>
    <w:rsid w:val="00BE5A22"/>
    <w:rsid w:val="00BE5D0C"/>
    <w:rsid w:val="00BE5E40"/>
    <w:rsid w:val="00BE612F"/>
    <w:rsid w:val="00BE61C0"/>
    <w:rsid w:val="00BE623E"/>
    <w:rsid w:val="00BE62A8"/>
    <w:rsid w:val="00BE668E"/>
    <w:rsid w:val="00BE669F"/>
    <w:rsid w:val="00BE6B6C"/>
    <w:rsid w:val="00BE6BFA"/>
    <w:rsid w:val="00BE6D3B"/>
    <w:rsid w:val="00BE7132"/>
    <w:rsid w:val="00BE75A1"/>
    <w:rsid w:val="00BE75F0"/>
    <w:rsid w:val="00BE7641"/>
    <w:rsid w:val="00BE7743"/>
    <w:rsid w:val="00BE781D"/>
    <w:rsid w:val="00BE7E85"/>
    <w:rsid w:val="00BF0001"/>
    <w:rsid w:val="00BF029D"/>
    <w:rsid w:val="00BF0407"/>
    <w:rsid w:val="00BF0709"/>
    <w:rsid w:val="00BF0B35"/>
    <w:rsid w:val="00BF1603"/>
    <w:rsid w:val="00BF160F"/>
    <w:rsid w:val="00BF19F2"/>
    <w:rsid w:val="00BF1B21"/>
    <w:rsid w:val="00BF1B65"/>
    <w:rsid w:val="00BF1B8B"/>
    <w:rsid w:val="00BF1E2B"/>
    <w:rsid w:val="00BF1E33"/>
    <w:rsid w:val="00BF1FC9"/>
    <w:rsid w:val="00BF213C"/>
    <w:rsid w:val="00BF237E"/>
    <w:rsid w:val="00BF24F5"/>
    <w:rsid w:val="00BF25E3"/>
    <w:rsid w:val="00BF2745"/>
    <w:rsid w:val="00BF284E"/>
    <w:rsid w:val="00BF29A9"/>
    <w:rsid w:val="00BF2A0C"/>
    <w:rsid w:val="00BF2ADD"/>
    <w:rsid w:val="00BF2C73"/>
    <w:rsid w:val="00BF2D3D"/>
    <w:rsid w:val="00BF2E4B"/>
    <w:rsid w:val="00BF302F"/>
    <w:rsid w:val="00BF34B0"/>
    <w:rsid w:val="00BF3589"/>
    <w:rsid w:val="00BF3667"/>
    <w:rsid w:val="00BF36EA"/>
    <w:rsid w:val="00BF3B29"/>
    <w:rsid w:val="00BF3E5C"/>
    <w:rsid w:val="00BF464C"/>
    <w:rsid w:val="00BF48CB"/>
    <w:rsid w:val="00BF4A26"/>
    <w:rsid w:val="00BF50D3"/>
    <w:rsid w:val="00BF539C"/>
    <w:rsid w:val="00BF5595"/>
    <w:rsid w:val="00BF56EF"/>
    <w:rsid w:val="00BF57B4"/>
    <w:rsid w:val="00BF590E"/>
    <w:rsid w:val="00BF59FC"/>
    <w:rsid w:val="00BF5A87"/>
    <w:rsid w:val="00BF5C64"/>
    <w:rsid w:val="00BF5E01"/>
    <w:rsid w:val="00BF61BE"/>
    <w:rsid w:val="00BF695A"/>
    <w:rsid w:val="00BF69C7"/>
    <w:rsid w:val="00BF6A83"/>
    <w:rsid w:val="00BF6A99"/>
    <w:rsid w:val="00BF7110"/>
    <w:rsid w:val="00BF7209"/>
    <w:rsid w:val="00BF7266"/>
    <w:rsid w:val="00BF72D5"/>
    <w:rsid w:val="00BF7415"/>
    <w:rsid w:val="00BF78B6"/>
    <w:rsid w:val="00C00316"/>
    <w:rsid w:val="00C003DA"/>
    <w:rsid w:val="00C0051B"/>
    <w:rsid w:val="00C00A17"/>
    <w:rsid w:val="00C00C17"/>
    <w:rsid w:val="00C00C85"/>
    <w:rsid w:val="00C00DC9"/>
    <w:rsid w:val="00C00FBD"/>
    <w:rsid w:val="00C0117D"/>
    <w:rsid w:val="00C0129D"/>
    <w:rsid w:val="00C012DC"/>
    <w:rsid w:val="00C01475"/>
    <w:rsid w:val="00C015D3"/>
    <w:rsid w:val="00C0164C"/>
    <w:rsid w:val="00C016FF"/>
    <w:rsid w:val="00C01797"/>
    <w:rsid w:val="00C0180D"/>
    <w:rsid w:val="00C019E3"/>
    <w:rsid w:val="00C01A08"/>
    <w:rsid w:val="00C01B00"/>
    <w:rsid w:val="00C02063"/>
    <w:rsid w:val="00C028CC"/>
    <w:rsid w:val="00C02A52"/>
    <w:rsid w:val="00C02B25"/>
    <w:rsid w:val="00C02B4F"/>
    <w:rsid w:val="00C02DF0"/>
    <w:rsid w:val="00C02E77"/>
    <w:rsid w:val="00C02FA1"/>
    <w:rsid w:val="00C03033"/>
    <w:rsid w:val="00C03110"/>
    <w:rsid w:val="00C032B6"/>
    <w:rsid w:val="00C032FF"/>
    <w:rsid w:val="00C03ACC"/>
    <w:rsid w:val="00C045B9"/>
    <w:rsid w:val="00C04707"/>
    <w:rsid w:val="00C04972"/>
    <w:rsid w:val="00C04BC8"/>
    <w:rsid w:val="00C04CA2"/>
    <w:rsid w:val="00C04F81"/>
    <w:rsid w:val="00C05120"/>
    <w:rsid w:val="00C05353"/>
    <w:rsid w:val="00C05402"/>
    <w:rsid w:val="00C057E8"/>
    <w:rsid w:val="00C05891"/>
    <w:rsid w:val="00C05CF8"/>
    <w:rsid w:val="00C05DC6"/>
    <w:rsid w:val="00C06212"/>
    <w:rsid w:val="00C0643C"/>
    <w:rsid w:val="00C0643E"/>
    <w:rsid w:val="00C066EC"/>
    <w:rsid w:val="00C067BD"/>
    <w:rsid w:val="00C06896"/>
    <w:rsid w:val="00C06919"/>
    <w:rsid w:val="00C06C56"/>
    <w:rsid w:val="00C06E14"/>
    <w:rsid w:val="00C07387"/>
    <w:rsid w:val="00C07534"/>
    <w:rsid w:val="00C0758D"/>
    <w:rsid w:val="00C07720"/>
    <w:rsid w:val="00C0774A"/>
    <w:rsid w:val="00C077E7"/>
    <w:rsid w:val="00C077FF"/>
    <w:rsid w:val="00C07C1A"/>
    <w:rsid w:val="00C07C20"/>
    <w:rsid w:val="00C07CA1"/>
    <w:rsid w:val="00C107BA"/>
    <w:rsid w:val="00C117D8"/>
    <w:rsid w:val="00C11891"/>
    <w:rsid w:val="00C11AE6"/>
    <w:rsid w:val="00C11B31"/>
    <w:rsid w:val="00C1234E"/>
    <w:rsid w:val="00C12629"/>
    <w:rsid w:val="00C1288E"/>
    <w:rsid w:val="00C130C6"/>
    <w:rsid w:val="00C13268"/>
    <w:rsid w:val="00C13282"/>
    <w:rsid w:val="00C132B4"/>
    <w:rsid w:val="00C133FF"/>
    <w:rsid w:val="00C139EE"/>
    <w:rsid w:val="00C13A3F"/>
    <w:rsid w:val="00C13AB0"/>
    <w:rsid w:val="00C144E0"/>
    <w:rsid w:val="00C148B0"/>
    <w:rsid w:val="00C14A94"/>
    <w:rsid w:val="00C14ACE"/>
    <w:rsid w:val="00C14C7D"/>
    <w:rsid w:val="00C14C8D"/>
    <w:rsid w:val="00C14EF4"/>
    <w:rsid w:val="00C14FEA"/>
    <w:rsid w:val="00C151BE"/>
    <w:rsid w:val="00C151E0"/>
    <w:rsid w:val="00C152B1"/>
    <w:rsid w:val="00C152E0"/>
    <w:rsid w:val="00C153FC"/>
    <w:rsid w:val="00C1541D"/>
    <w:rsid w:val="00C156D3"/>
    <w:rsid w:val="00C15A3A"/>
    <w:rsid w:val="00C15E77"/>
    <w:rsid w:val="00C16153"/>
    <w:rsid w:val="00C16184"/>
    <w:rsid w:val="00C16273"/>
    <w:rsid w:val="00C1633B"/>
    <w:rsid w:val="00C163DB"/>
    <w:rsid w:val="00C1696B"/>
    <w:rsid w:val="00C16BA3"/>
    <w:rsid w:val="00C16D70"/>
    <w:rsid w:val="00C16EDE"/>
    <w:rsid w:val="00C171C1"/>
    <w:rsid w:val="00C17534"/>
    <w:rsid w:val="00C175A0"/>
    <w:rsid w:val="00C175C1"/>
    <w:rsid w:val="00C1796E"/>
    <w:rsid w:val="00C17AEF"/>
    <w:rsid w:val="00C17BA0"/>
    <w:rsid w:val="00C17C96"/>
    <w:rsid w:val="00C17F74"/>
    <w:rsid w:val="00C20139"/>
    <w:rsid w:val="00C201A1"/>
    <w:rsid w:val="00C202F9"/>
    <w:rsid w:val="00C20405"/>
    <w:rsid w:val="00C20632"/>
    <w:rsid w:val="00C2068A"/>
    <w:rsid w:val="00C209D0"/>
    <w:rsid w:val="00C20BB3"/>
    <w:rsid w:val="00C211F1"/>
    <w:rsid w:val="00C211FF"/>
    <w:rsid w:val="00C21270"/>
    <w:rsid w:val="00C214B4"/>
    <w:rsid w:val="00C217AB"/>
    <w:rsid w:val="00C217B0"/>
    <w:rsid w:val="00C21A25"/>
    <w:rsid w:val="00C21DE3"/>
    <w:rsid w:val="00C21EEF"/>
    <w:rsid w:val="00C21F80"/>
    <w:rsid w:val="00C2218F"/>
    <w:rsid w:val="00C222B4"/>
    <w:rsid w:val="00C223BE"/>
    <w:rsid w:val="00C2254B"/>
    <w:rsid w:val="00C22E61"/>
    <w:rsid w:val="00C23080"/>
    <w:rsid w:val="00C2308C"/>
    <w:rsid w:val="00C2317C"/>
    <w:rsid w:val="00C2348C"/>
    <w:rsid w:val="00C2380B"/>
    <w:rsid w:val="00C23977"/>
    <w:rsid w:val="00C239A8"/>
    <w:rsid w:val="00C23B00"/>
    <w:rsid w:val="00C23CE4"/>
    <w:rsid w:val="00C23E0B"/>
    <w:rsid w:val="00C245FC"/>
    <w:rsid w:val="00C249DC"/>
    <w:rsid w:val="00C24B04"/>
    <w:rsid w:val="00C24C18"/>
    <w:rsid w:val="00C24E9D"/>
    <w:rsid w:val="00C250D7"/>
    <w:rsid w:val="00C25142"/>
    <w:rsid w:val="00C25269"/>
    <w:rsid w:val="00C25398"/>
    <w:rsid w:val="00C25456"/>
    <w:rsid w:val="00C257C3"/>
    <w:rsid w:val="00C25A7D"/>
    <w:rsid w:val="00C25B04"/>
    <w:rsid w:val="00C25B0A"/>
    <w:rsid w:val="00C25CA1"/>
    <w:rsid w:val="00C25EC9"/>
    <w:rsid w:val="00C261CC"/>
    <w:rsid w:val="00C26895"/>
    <w:rsid w:val="00C268A7"/>
    <w:rsid w:val="00C26AE1"/>
    <w:rsid w:val="00C26BD8"/>
    <w:rsid w:val="00C2702B"/>
    <w:rsid w:val="00C2724C"/>
    <w:rsid w:val="00C27421"/>
    <w:rsid w:val="00C27449"/>
    <w:rsid w:val="00C279F5"/>
    <w:rsid w:val="00C27ADE"/>
    <w:rsid w:val="00C27CAB"/>
    <w:rsid w:val="00C27DCF"/>
    <w:rsid w:val="00C30022"/>
    <w:rsid w:val="00C30240"/>
    <w:rsid w:val="00C30397"/>
    <w:rsid w:val="00C30519"/>
    <w:rsid w:val="00C306B3"/>
    <w:rsid w:val="00C30931"/>
    <w:rsid w:val="00C30972"/>
    <w:rsid w:val="00C309F4"/>
    <w:rsid w:val="00C30A4F"/>
    <w:rsid w:val="00C30AED"/>
    <w:rsid w:val="00C30C6B"/>
    <w:rsid w:val="00C31047"/>
    <w:rsid w:val="00C312E7"/>
    <w:rsid w:val="00C31335"/>
    <w:rsid w:val="00C3139D"/>
    <w:rsid w:val="00C313D3"/>
    <w:rsid w:val="00C317E1"/>
    <w:rsid w:val="00C31885"/>
    <w:rsid w:val="00C31CF2"/>
    <w:rsid w:val="00C31E5B"/>
    <w:rsid w:val="00C3201F"/>
    <w:rsid w:val="00C32800"/>
    <w:rsid w:val="00C32B6B"/>
    <w:rsid w:val="00C32B90"/>
    <w:rsid w:val="00C331CA"/>
    <w:rsid w:val="00C332EF"/>
    <w:rsid w:val="00C3358E"/>
    <w:rsid w:val="00C336D5"/>
    <w:rsid w:val="00C3376A"/>
    <w:rsid w:val="00C338CA"/>
    <w:rsid w:val="00C33E8F"/>
    <w:rsid w:val="00C3411B"/>
    <w:rsid w:val="00C343C3"/>
    <w:rsid w:val="00C350C4"/>
    <w:rsid w:val="00C351FB"/>
    <w:rsid w:val="00C3564F"/>
    <w:rsid w:val="00C35E02"/>
    <w:rsid w:val="00C36090"/>
    <w:rsid w:val="00C3617D"/>
    <w:rsid w:val="00C36357"/>
    <w:rsid w:val="00C36425"/>
    <w:rsid w:val="00C36429"/>
    <w:rsid w:val="00C36479"/>
    <w:rsid w:val="00C365CD"/>
    <w:rsid w:val="00C3682F"/>
    <w:rsid w:val="00C369A6"/>
    <w:rsid w:val="00C369D3"/>
    <w:rsid w:val="00C36C0D"/>
    <w:rsid w:val="00C36C77"/>
    <w:rsid w:val="00C36CA0"/>
    <w:rsid w:val="00C36D10"/>
    <w:rsid w:val="00C36D23"/>
    <w:rsid w:val="00C36FF5"/>
    <w:rsid w:val="00C373FB"/>
    <w:rsid w:val="00C37667"/>
    <w:rsid w:val="00C37E80"/>
    <w:rsid w:val="00C37E96"/>
    <w:rsid w:val="00C4006A"/>
    <w:rsid w:val="00C4059B"/>
    <w:rsid w:val="00C40759"/>
    <w:rsid w:val="00C40916"/>
    <w:rsid w:val="00C412B0"/>
    <w:rsid w:val="00C41449"/>
    <w:rsid w:val="00C41884"/>
    <w:rsid w:val="00C41920"/>
    <w:rsid w:val="00C41D8C"/>
    <w:rsid w:val="00C4207C"/>
    <w:rsid w:val="00C42413"/>
    <w:rsid w:val="00C424DE"/>
    <w:rsid w:val="00C426A4"/>
    <w:rsid w:val="00C4299C"/>
    <w:rsid w:val="00C43AF3"/>
    <w:rsid w:val="00C43C22"/>
    <w:rsid w:val="00C43D80"/>
    <w:rsid w:val="00C43F58"/>
    <w:rsid w:val="00C443C3"/>
    <w:rsid w:val="00C4479D"/>
    <w:rsid w:val="00C44828"/>
    <w:rsid w:val="00C44AEF"/>
    <w:rsid w:val="00C44B30"/>
    <w:rsid w:val="00C44B44"/>
    <w:rsid w:val="00C44BBE"/>
    <w:rsid w:val="00C44C44"/>
    <w:rsid w:val="00C44CDF"/>
    <w:rsid w:val="00C44D1F"/>
    <w:rsid w:val="00C44EFB"/>
    <w:rsid w:val="00C44F05"/>
    <w:rsid w:val="00C452AC"/>
    <w:rsid w:val="00C455A4"/>
    <w:rsid w:val="00C4581D"/>
    <w:rsid w:val="00C45A34"/>
    <w:rsid w:val="00C45A64"/>
    <w:rsid w:val="00C45AE9"/>
    <w:rsid w:val="00C45C93"/>
    <w:rsid w:val="00C45D36"/>
    <w:rsid w:val="00C45E2B"/>
    <w:rsid w:val="00C45F9A"/>
    <w:rsid w:val="00C46010"/>
    <w:rsid w:val="00C46225"/>
    <w:rsid w:val="00C465D7"/>
    <w:rsid w:val="00C467BC"/>
    <w:rsid w:val="00C467C5"/>
    <w:rsid w:val="00C46C43"/>
    <w:rsid w:val="00C46D76"/>
    <w:rsid w:val="00C46DBA"/>
    <w:rsid w:val="00C47572"/>
    <w:rsid w:val="00C476A7"/>
    <w:rsid w:val="00C4792E"/>
    <w:rsid w:val="00C47E38"/>
    <w:rsid w:val="00C47E74"/>
    <w:rsid w:val="00C47F00"/>
    <w:rsid w:val="00C5009D"/>
    <w:rsid w:val="00C5014B"/>
    <w:rsid w:val="00C50543"/>
    <w:rsid w:val="00C50878"/>
    <w:rsid w:val="00C50B6F"/>
    <w:rsid w:val="00C50BC5"/>
    <w:rsid w:val="00C50C31"/>
    <w:rsid w:val="00C513C3"/>
    <w:rsid w:val="00C51744"/>
    <w:rsid w:val="00C51898"/>
    <w:rsid w:val="00C51C49"/>
    <w:rsid w:val="00C51D74"/>
    <w:rsid w:val="00C51EA2"/>
    <w:rsid w:val="00C51FC3"/>
    <w:rsid w:val="00C529E1"/>
    <w:rsid w:val="00C52CD4"/>
    <w:rsid w:val="00C52FD0"/>
    <w:rsid w:val="00C531B6"/>
    <w:rsid w:val="00C53D21"/>
    <w:rsid w:val="00C54039"/>
    <w:rsid w:val="00C54305"/>
    <w:rsid w:val="00C5430A"/>
    <w:rsid w:val="00C5434F"/>
    <w:rsid w:val="00C54581"/>
    <w:rsid w:val="00C54624"/>
    <w:rsid w:val="00C54816"/>
    <w:rsid w:val="00C54930"/>
    <w:rsid w:val="00C549EC"/>
    <w:rsid w:val="00C54AD7"/>
    <w:rsid w:val="00C54B8F"/>
    <w:rsid w:val="00C54D51"/>
    <w:rsid w:val="00C55533"/>
    <w:rsid w:val="00C55B28"/>
    <w:rsid w:val="00C55B3B"/>
    <w:rsid w:val="00C55E16"/>
    <w:rsid w:val="00C56128"/>
    <w:rsid w:val="00C5623A"/>
    <w:rsid w:val="00C56BE0"/>
    <w:rsid w:val="00C56E89"/>
    <w:rsid w:val="00C56F13"/>
    <w:rsid w:val="00C56F99"/>
    <w:rsid w:val="00C570D3"/>
    <w:rsid w:val="00C57247"/>
    <w:rsid w:val="00C576DB"/>
    <w:rsid w:val="00C5775A"/>
    <w:rsid w:val="00C577A4"/>
    <w:rsid w:val="00C57CD5"/>
    <w:rsid w:val="00C57FAD"/>
    <w:rsid w:val="00C6004D"/>
    <w:rsid w:val="00C602AB"/>
    <w:rsid w:val="00C60545"/>
    <w:rsid w:val="00C607F5"/>
    <w:rsid w:val="00C60824"/>
    <w:rsid w:val="00C60933"/>
    <w:rsid w:val="00C60E45"/>
    <w:rsid w:val="00C60FCF"/>
    <w:rsid w:val="00C614B9"/>
    <w:rsid w:val="00C614D1"/>
    <w:rsid w:val="00C61612"/>
    <w:rsid w:val="00C61662"/>
    <w:rsid w:val="00C61899"/>
    <w:rsid w:val="00C619F9"/>
    <w:rsid w:val="00C61AB9"/>
    <w:rsid w:val="00C61AEA"/>
    <w:rsid w:val="00C61C3F"/>
    <w:rsid w:val="00C620CC"/>
    <w:rsid w:val="00C621E3"/>
    <w:rsid w:val="00C627D4"/>
    <w:rsid w:val="00C62A68"/>
    <w:rsid w:val="00C62C73"/>
    <w:rsid w:val="00C62E43"/>
    <w:rsid w:val="00C630BE"/>
    <w:rsid w:val="00C63163"/>
    <w:rsid w:val="00C6316B"/>
    <w:rsid w:val="00C63197"/>
    <w:rsid w:val="00C6344E"/>
    <w:rsid w:val="00C638E8"/>
    <w:rsid w:val="00C63B3F"/>
    <w:rsid w:val="00C63C84"/>
    <w:rsid w:val="00C64711"/>
    <w:rsid w:val="00C64EDF"/>
    <w:rsid w:val="00C65072"/>
    <w:rsid w:val="00C654C4"/>
    <w:rsid w:val="00C656D3"/>
    <w:rsid w:val="00C65AA6"/>
    <w:rsid w:val="00C66628"/>
    <w:rsid w:val="00C66687"/>
    <w:rsid w:val="00C66A68"/>
    <w:rsid w:val="00C67064"/>
    <w:rsid w:val="00C6754A"/>
    <w:rsid w:val="00C679F6"/>
    <w:rsid w:val="00C67CC5"/>
    <w:rsid w:val="00C7048C"/>
    <w:rsid w:val="00C71181"/>
    <w:rsid w:val="00C72011"/>
    <w:rsid w:val="00C72188"/>
    <w:rsid w:val="00C72863"/>
    <w:rsid w:val="00C72920"/>
    <w:rsid w:val="00C72A73"/>
    <w:rsid w:val="00C72B39"/>
    <w:rsid w:val="00C72FB9"/>
    <w:rsid w:val="00C73001"/>
    <w:rsid w:val="00C7387E"/>
    <w:rsid w:val="00C7401D"/>
    <w:rsid w:val="00C74051"/>
    <w:rsid w:val="00C7405C"/>
    <w:rsid w:val="00C740E4"/>
    <w:rsid w:val="00C7413B"/>
    <w:rsid w:val="00C744B9"/>
    <w:rsid w:val="00C74851"/>
    <w:rsid w:val="00C74978"/>
    <w:rsid w:val="00C752CF"/>
    <w:rsid w:val="00C753E5"/>
    <w:rsid w:val="00C754DE"/>
    <w:rsid w:val="00C75538"/>
    <w:rsid w:val="00C7568A"/>
    <w:rsid w:val="00C75AE6"/>
    <w:rsid w:val="00C75AED"/>
    <w:rsid w:val="00C75AFF"/>
    <w:rsid w:val="00C75C06"/>
    <w:rsid w:val="00C75C45"/>
    <w:rsid w:val="00C766C9"/>
    <w:rsid w:val="00C76773"/>
    <w:rsid w:val="00C76912"/>
    <w:rsid w:val="00C76C38"/>
    <w:rsid w:val="00C76CC0"/>
    <w:rsid w:val="00C76D63"/>
    <w:rsid w:val="00C771B8"/>
    <w:rsid w:val="00C772E9"/>
    <w:rsid w:val="00C77841"/>
    <w:rsid w:val="00C77B7C"/>
    <w:rsid w:val="00C77E04"/>
    <w:rsid w:val="00C77E5C"/>
    <w:rsid w:val="00C77EDD"/>
    <w:rsid w:val="00C804C4"/>
    <w:rsid w:val="00C8103F"/>
    <w:rsid w:val="00C81206"/>
    <w:rsid w:val="00C81596"/>
    <w:rsid w:val="00C816E5"/>
    <w:rsid w:val="00C81B39"/>
    <w:rsid w:val="00C820D0"/>
    <w:rsid w:val="00C82434"/>
    <w:rsid w:val="00C828EE"/>
    <w:rsid w:val="00C82900"/>
    <w:rsid w:val="00C82BB0"/>
    <w:rsid w:val="00C82CF0"/>
    <w:rsid w:val="00C82D84"/>
    <w:rsid w:val="00C82FC2"/>
    <w:rsid w:val="00C82FC6"/>
    <w:rsid w:val="00C832C7"/>
    <w:rsid w:val="00C83539"/>
    <w:rsid w:val="00C836A5"/>
    <w:rsid w:val="00C836C1"/>
    <w:rsid w:val="00C8373E"/>
    <w:rsid w:val="00C83C46"/>
    <w:rsid w:val="00C83C66"/>
    <w:rsid w:val="00C83DB3"/>
    <w:rsid w:val="00C83E6C"/>
    <w:rsid w:val="00C844DA"/>
    <w:rsid w:val="00C847E1"/>
    <w:rsid w:val="00C849C7"/>
    <w:rsid w:val="00C84B51"/>
    <w:rsid w:val="00C84E43"/>
    <w:rsid w:val="00C850DE"/>
    <w:rsid w:val="00C852D4"/>
    <w:rsid w:val="00C8577B"/>
    <w:rsid w:val="00C857A9"/>
    <w:rsid w:val="00C85951"/>
    <w:rsid w:val="00C859B9"/>
    <w:rsid w:val="00C860B2"/>
    <w:rsid w:val="00C8626B"/>
    <w:rsid w:val="00C8675B"/>
    <w:rsid w:val="00C8677B"/>
    <w:rsid w:val="00C868F3"/>
    <w:rsid w:val="00C86D59"/>
    <w:rsid w:val="00C86DD7"/>
    <w:rsid w:val="00C86E2E"/>
    <w:rsid w:val="00C870FA"/>
    <w:rsid w:val="00C87530"/>
    <w:rsid w:val="00C87840"/>
    <w:rsid w:val="00C87BF1"/>
    <w:rsid w:val="00C87D6C"/>
    <w:rsid w:val="00C90163"/>
    <w:rsid w:val="00C90224"/>
    <w:rsid w:val="00C9072B"/>
    <w:rsid w:val="00C90A60"/>
    <w:rsid w:val="00C90BC4"/>
    <w:rsid w:val="00C90EA5"/>
    <w:rsid w:val="00C911A7"/>
    <w:rsid w:val="00C91503"/>
    <w:rsid w:val="00C918D9"/>
    <w:rsid w:val="00C91A9D"/>
    <w:rsid w:val="00C91AA5"/>
    <w:rsid w:val="00C91DC6"/>
    <w:rsid w:val="00C91E67"/>
    <w:rsid w:val="00C91FA7"/>
    <w:rsid w:val="00C91FB2"/>
    <w:rsid w:val="00C9221F"/>
    <w:rsid w:val="00C927C1"/>
    <w:rsid w:val="00C92A6B"/>
    <w:rsid w:val="00C92B18"/>
    <w:rsid w:val="00C92B88"/>
    <w:rsid w:val="00C9397E"/>
    <w:rsid w:val="00C93AA5"/>
    <w:rsid w:val="00C93E4E"/>
    <w:rsid w:val="00C93EA4"/>
    <w:rsid w:val="00C94063"/>
    <w:rsid w:val="00C9475C"/>
    <w:rsid w:val="00C94812"/>
    <w:rsid w:val="00C94A21"/>
    <w:rsid w:val="00C94ACA"/>
    <w:rsid w:val="00C94CA1"/>
    <w:rsid w:val="00C94E2C"/>
    <w:rsid w:val="00C94F39"/>
    <w:rsid w:val="00C953C1"/>
    <w:rsid w:val="00C953D8"/>
    <w:rsid w:val="00C95650"/>
    <w:rsid w:val="00C9569E"/>
    <w:rsid w:val="00C95884"/>
    <w:rsid w:val="00C95A4B"/>
    <w:rsid w:val="00C95C78"/>
    <w:rsid w:val="00C95E34"/>
    <w:rsid w:val="00C95E5A"/>
    <w:rsid w:val="00C95FD2"/>
    <w:rsid w:val="00C96235"/>
    <w:rsid w:val="00C966F8"/>
    <w:rsid w:val="00C96A15"/>
    <w:rsid w:val="00C96A56"/>
    <w:rsid w:val="00C96D96"/>
    <w:rsid w:val="00C97084"/>
    <w:rsid w:val="00C97217"/>
    <w:rsid w:val="00C97371"/>
    <w:rsid w:val="00C973B9"/>
    <w:rsid w:val="00C975B3"/>
    <w:rsid w:val="00C975E8"/>
    <w:rsid w:val="00C97718"/>
    <w:rsid w:val="00C97A4A"/>
    <w:rsid w:val="00C97B8D"/>
    <w:rsid w:val="00CA0EE9"/>
    <w:rsid w:val="00CA14FE"/>
    <w:rsid w:val="00CA1532"/>
    <w:rsid w:val="00CA166F"/>
    <w:rsid w:val="00CA17A7"/>
    <w:rsid w:val="00CA1C8F"/>
    <w:rsid w:val="00CA1D8D"/>
    <w:rsid w:val="00CA2471"/>
    <w:rsid w:val="00CA2545"/>
    <w:rsid w:val="00CA260B"/>
    <w:rsid w:val="00CA2681"/>
    <w:rsid w:val="00CA26C8"/>
    <w:rsid w:val="00CA2E1B"/>
    <w:rsid w:val="00CA2F59"/>
    <w:rsid w:val="00CA3016"/>
    <w:rsid w:val="00CA31E1"/>
    <w:rsid w:val="00CA3436"/>
    <w:rsid w:val="00CA3630"/>
    <w:rsid w:val="00CA3835"/>
    <w:rsid w:val="00CA40B5"/>
    <w:rsid w:val="00CA43C5"/>
    <w:rsid w:val="00CA43C8"/>
    <w:rsid w:val="00CA4488"/>
    <w:rsid w:val="00CA44AD"/>
    <w:rsid w:val="00CA4657"/>
    <w:rsid w:val="00CA46EB"/>
    <w:rsid w:val="00CA4BBF"/>
    <w:rsid w:val="00CA4E52"/>
    <w:rsid w:val="00CA4F0F"/>
    <w:rsid w:val="00CA4FE0"/>
    <w:rsid w:val="00CA52B9"/>
    <w:rsid w:val="00CA52E9"/>
    <w:rsid w:val="00CA544A"/>
    <w:rsid w:val="00CA5468"/>
    <w:rsid w:val="00CA5A4B"/>
    <w:rsid w:val="00CA60AA"/>
    <w:rsid w:val="00CA611F"/>
    <w:rsid w:val="00CA6445"/>
    <w:rsid w:val="00CA6467"/>
    <w:rsid w:val="00CA67A4"/>
    <w:rsid w:val="00CA682A"/>
    <w:rsid w:val="00CA68AF"/>
    <w:rsid w:val="00CA69B8"/>
    <w:rsid w:val="00CA6A18"/>
    <w:rsid w:val="00CA6AF8"/>
    <w:rsid w:val="00CA6C04"/>
    <w:rsid w:val="00CA72BB"/>
    <w:rsid w:val="00CA75F5"/>
    <w:rsid w:val="00CA77BD"/>
    <w:rsid w:val="00CA7B58"/>
    <w:rsid w:val="00CA7C35"/>
    <w:rsid w:val="00CA7DE5"/>
    <w:rsid w:val="00CA7FFE"/>
    <w:rsid w:val="00CB0075"/>
    <w:rsid w:val="00CB0379"/>
    <w:rsid w:val="00CB0391"/>
    <w:rsid w:val="00CB0606"/>
    <w:rsid w:val="00CB0941"/>
    <w:rsid w:val="00CB0B18"/>
    <w:rsid w:val="00CB0ED1"/>
    <w:rsid w:val="00CB0F17"/>
    <w:rsid w:val="00CB14B5"/>
    <w:rsid w:val="00CB158B"/>
    <w:rsid w:val="00CB16A3"/>
    <w:rsid w:val="00CB18FC"/>
    <w:rsid w:val="00CB1913"/>
    <w:rsid w:val="00CB1AE4"/>
    <w:rsid w:val="00CB1BDA"/>
    <w:rsid w:val="00CB1D85"/>
    <w:rsid w:val="00CB21BF"/>
    <w:rsid w:val="00CB2455"/>
    <w:rsid w:val="00CB24DF"/>
    <w:rsid w:val="00CB274D"/>
    <w:rsid w:val="00CB29A7"/>
    <w:rsid w:val="00CB2D49"/>
    <w:rsid w:val="00CB2D4A"/>
    <w:rsid w:val="00CB2DB7"/>
    <w:rsid w:val="00CB3160"/>
    <w:rsid w:val="00CB3175"/>
    <w:rsid w:val="00CB34E3"/>
    <w:rsid w:val="00CB3C6F"/>
    <w:rsid w:val="00CB45E2"/>
    <w:rsid w:val="00CB4706"/>
    <w:rsid w:val="00CB4BF3"/>
    <w:rsid w:val="00CB4C6D"/>
    <w:rsid w:val="00CB4E28"/>
    <w:rsid w:val="00CB4F2D"/>
    <w:rsid w:val="00CB52C5"/>
    <w:rsid w:val="00CB536C"/>
    <w:rsid w:val="00CB57F9"/>
    <w:rsid w:val="00CB58E0"/>
    <w:rsid w:val="00CB59BC"/>
    <w:rsid w:val="00CB5B6D"/>
    <w:rsid w:val="00CB5BB3"/>
    <w:rsid w:val="00CB5CA0"/>
    <w:rsid w:val="00CB5DB3"/>
    <w:rsid w:val="00CB5E1C"/>
    <w:rsid w:val="00CB6011"/>
    <w:rsid w:val="00CB601E"/>
    <w:rsid w:val="00CB64AE"/>
    <w:rsid w:val="00CB671B"/>
    <w:rsid w:val="00CB69D6"/>
    <w:rsid w:val="00CB6C93"/>
    <w:rsid w:val="00CB6F71"/>
    <w:rsid w:val="00CB73E1"/>
    <w:rsid w:val="00CB765F"/>
    <w:rsid w:val="00CB7666"/>
    <w:rsid w:val="00CB788D"/>
    <w:rsid w:val="00CB7CA4"/>
    <w:rsid w:val="00CB7E6E"/>
    <w:rsid w:val="00CC0424"/>
    <w:rsid w:val="00CC05F1"/>
    <w:rsid w:val="00CC06D1"/>
    <w:rsid w:val="00CC0AAC"/>
    <w:rsid w:val="00CC0D69"/>
    <w:rsid w:val="00CC0D93"/>
    <w:rsid w:val="00CC0EA2"/>
    <w:rsid w:val="00CC10F3"/>
    <w:rsid w:val="00CC127B"/>
    <w:rsid w:val="00CC140D"/>
    <w:rsid w:val="00CC1594"/>
    <w:rsid w:val="00CC15C0"/>
    <w:rsid w:val="00CC15F5"/>
    <w:rsid w:val="00CC179B"/>
    <w:rsid w:val="00CC1B49"/>
    <w:rsid w:val="00CC1C66"/>
    <w:rsid w:val="00CC1F06"/>
    <w:rsid w:val="00CC2123"/>
    <w:rsid w:val="00CC2286"/>
    <w:rsid w:val="00CC2303"/>
    <w:rsid w:val="00CC2550"/>
    <w:rsid w:val="00CC2572"/>
    <w:rsid w:val="00CC2AE0"/>
    <w:rsid w:val="00CC2DE1"/>
    <w:rsid w:val="00CC3326"/>
    <w:rsid w:val="00CC349E"/>
    <w:rsid w:val="00CC35E7"/>
    <w:rsid w:val="00CC38E4"/>
    <w:rsid w:val="00CC3CB3"/>
    <w:rsid w:val="00CC3E1D"/>
    <w:rsid w:val="00CC43A1"/>
    <w:rsid w:val="00CC47AE"/>
    <w:rsid w:val="00CC4E96"/>
    <w:rsid w:val="00CC549F"/>
    <w:rsid w:val="00CC5737"/>
    <w:rsid w:val="00CC57DF"/>
    <w:rsid w:val="00CC58EE"/>
    <w:rsid w:val="00CC5C4C"/>
    <w:rsid w:val="00CC5D98"/>
    <w:rsid w:val="00CC6244"/>
    <w:rsid w:val="00CC67DC"/>
    <w:rsid w:val="00CC6858"/>
    <w:rsid w:val="00CC6A38"/>
    <w:rsid w:val="00CC6BD0"/>
    <w:rsid w:val="00CC6E9E"/>
    <w:rsid w:val="00CC727E"/>
    <w:rsid w:val="00CC72FE"/>
    <w:rsid w:val="00CC762F"/>
    <w:rsid w:val="00CC7681"/>
    <w:rsid w:val="00CC7749"/>
    <w:rsid w:val="00CC79F8"/>
    <w:rsid w:val="00CC7FA0"/>
    <w:rsid w:val="00CD0031"/>
    <w:rsid w:val="00CD0127"/>
    <w:rsid w:val="00CD05C4"/>
    <w:rsid w:val="00CD0722"/>
    <w:rsid w:val="00CD07A9"/>
    <w:rsid w:val="00CD08EB"/>
    <w:rsid w:val="00CD0CD2"/>
    <w:rsid w:val="00CD0CFC"/>
    <w:rsid w:val="00CD0D7C"/>
    <w:rsid w:val="00CD0F34"/>
    <w:rsid w:val="00CD12CE"/>
    <w:rsid w:val="00CD1A62"/>
    <w:rsid w:val="00CD1B36"/>
    <w:rsid w:val="00CD1B57"/>
    <w:rsid w:val="00CD1D58"/>
    <w:rsid w:val="00CD246F"/>
    <w:rsid w:val="00CD275A"/>
    <w:rsid w:val="00CD28E4"/>
    <w:rsid w:val="00CD290E"/>
    <w:rsid w:val="00CD29BC"/>
    <w:rsid w:val="00CD29E7"/>
    <w:rsid w:val="00CD2ABD"/>
    <w:rsid w:val="00CD2AC5"/>
    <w:rsid w:val="00CD2B8E"/>
    <w:rsid w:val="00CD2C66"/>
    <w:rsid w:val="00CD2C6C"/>
    <w:rsid w:val="00CD2C91"/>
    <w:rsid w:val="00CD2F59"/>
    <w:rsid w:val="00CD3007"/>
    <w:rsid w:val="00CD344A"/>
    <w:rsid w:val="00CD3492"/>
    <w:rsid w:val="00CD34C4"/>
    <w:rsid w:val="00CD3614"/>
    <w:rsid w:val="00CD377A"/>
    <w:rsid w:val="00CD380A"/>
    <w:rsid w:val="00CD383D"/>
    <w:rsid w:val="00CD3B56"/>
    <w:rsid w:val="00CD3D8E"/>
    <w:rsid w:val="00CD3F10"/>
    <w:rsid w:val="00CD3F68"/>
    <w:rsid w:val="00CD4421"/>
    <w:rsid w:val="00CD447F"/>
    <w:rsid w:val="00CD44CB"/>
    <w:rsid w:val="00CD49E9"/>
    <w:rsid w:val="00CD4A7F"/>
    <w:rsid w:val="00CD5157"/>
    <w:rsid w:val="00CD52E5"/>
    <w:rsid w:val="00CD5347"/>
    <w:rsid w:val="00CD56A2"/>
    <w:rsid w:val="00CD5847"/>
    <w:rsid w:val="00CD5865"/>
    <w:rsid w:val="00CD5CF3"/>
    <w:rsid w:val="00CD5D2D"/>
    <w:rsid w:val="00CD5E6E"/>
    <w:rsid w:val="00CD67BA"/>
    <w:rsid w:val="00CD68E5"/>
    <w:rsid w:val="00CD6C70"/>
    <w:rsid w:val="00CD7022"/>
    <w:rsid w:val="00CD71F6"/>
    <w:rsid w:val="00CD7392"/>
    <w:rsid w:val="00CD7408"/>
    <w:rsid w:val="00CD79E0"/>
    <w:rsid w:val="00CD7A0C"/>
    <w:rsid w:val="00CD7A67"/>
    <w:rsid w:val="00CD7C1D"/>
    <w:rsid w:val="00CD7D2C"/>
    <w:rsid w:val="00CD7EA9"/>
    <w:rsid w:val="00CD7FF8"/>
    <w:rsid w:val="00CE010D"/>
    <w:rsid w:val="00CE08C2"/>
    <w:rsid w:val="00CE097C"/>
    <w:rsid w:val="00CE0A62"/>
    <w:rsid w:val="00CE0AC0"/>
    <w:rsid w:val="00CE0AE7"/>
    <w:rsid w:val="00CE0B9A"/>
    <w:rsid w:val="00CE0D00"/>
    <w:rsid w:val="00CE0FD3"/>
    <w:rsid w:val="00CE1029"/>
    <w:rsid w:val="00CE14E6"/>
    <w:rsid w:val="00CE199F"/>
    <w:rsid w:val="00CE1B59"/>
    <w:rsid w:val="00CE1D35"/>
    <w:rsid w:val="00CE1E02"/>
    <w:rsid w:val="00CE1E12"/>
    <w:rsid w:val="00CE1FCB"/>
    <w:rsid w:val="00CE2099"/>
    <w:rsid w:val="00CE2310"/>
    <w:rsid w:val="00CE2521"/>
    <w:rsid w:val="00CE26EF"/>
    <w:rsid w:val="00CE2716"/>
    <w:rsid w:val="00CE2C33"/>
    <w:rsid w:val="00CE35A6"/>
    <w:rsid w:val="00CE36B8"/>
    <w:rsid w:val="00CE3ADC"/>
    <w:rsid w:val="00CE3AF7"/>
    <w:rsid w:val="00CE3BD8"/>
    <w:rsid w:val="00CE3C44"/>
    <w:rsid w:val="00CE3CDA"/>
    <w:rsid w:val="00CE44E2"/>
    <w:rsid w:val="00CE4C60"/>
    <w:rsid w:val="00CE4DA1"/>
    <w:rsid w:val="00CE4DD2"/>
    <w:rsid w:val="00CE5C10"/>
    <w:rsid w:val="00CE5E5F"/>
    <w:rsid w:val="00CE5EFA"/>
    <w:rsid w:val="00CE6481"/>
    <w:rsid w:val="00CE6727"/>
    <w:rsid w:val="00CE6C47"/>
    <w:rsid w:val="00CE6D75"/>
    <w:rsid w:val="00CE7097"/>
    <w:rsid w:val="00CE71F5"/>
    <w:rsid w:val="00CE7389"/>
    <w:rsid w:val="00CE7570"/>
    <w:rsid w:val="00CE758F"/>
    <w:rsid w:val="00CE7D99"/>
    <w:rsid w:val="00CE7F65"/>
    <w:rsid w:val="00CF0619"/>
    <w:rsid w:val="00CF08DF"/>
    <w:rsid w:val="00CF0C04"/>
    <w:rsid w:val="00CF11D6"/>
    <w:rsid w:val="00CF1283"/>
    <w:rsid w:val="00CF1343"/>
    <w:rsid w:val="00CF13A9"/>
    <w:rsid w:val="00CF13EB"/>
    <w:rsid w:val="00CF142B"/>
    <w:rsid w:val="00CF1758"/>
    <w:rsid w:val="00CF19CB"/>
    <w:rsid w:val="00CF1BB9"/>
    <w:rsid w:val="00CF1DE9"/>
    <w:rsid w:val="00CF1FF4"/>
    <w:rsid w:val="00CF265D"/>
    <w:rsid w:val="00CF288C"/>
    <w:rsid w:val="00CF2ED4"/>
    <w:rsid w:val="00CF306A"/>
    <w:rsid w:val="00CF307B"/>
    <w:rsid w:val="00CF35BF"/>
    <w:rsid w:val="00CF3664"/>
    <w:rsid w:val="00CF36C5"/>
    <w:rsid w:val="00CF3A23"/>
    <w:rsid w:val="00CF3B93"/>
    <w:rsid w:val="00CF3BFB"/>
    <w:rsid w:val="00CF3C09"/>
    <w:rsid w:val="00CF3D74"/>
    <w:rsid w:val="00CF3DAC"/>
    <w:rsid w:val="00CF3EFF"/>
    <w:rsid w:val="00CF40F8"/>
    <w:rsid w:val="00CF4497"/>
    <w:rsid w:val="00CF44E2"/>
    <w:rsid w:val="00CF45DE"/>
    <w:rsid w:val="00CF47D1"/>
    <w:rsid w:val="00CF4B3D"/>
    <w:rsid w:val="00CF4FB9"/>
    <w:rsid w:val="00CF55EB"/>
    <w:rsid w:val="00CF57C5"/>
    <w:rsid w:val="00CF582E"/>
    <w:rsid w:val="00CF59C8"/>
    <w:rsid w:val="00CF59F4"/>
    <w:rsid w:val="00CF5BBB"/>
    <w:rsid w:val="00CF626A"/>
    <w:rsid w:val="00CF6454"/>
    <w:rsid w:val="00CF64A1"/>
    <w:rsid w:val="00CF6706"/>
    <w:rsid w:val="00CF68FA"/>
    <w:rsid w:val="00CF691C"/>
    <w:rsid w:val="00CF6980"/>
    <w:rsid w:val="00CF6FD0"/>
    <w:rsid w:val="00CF72DC"/>
    <w:rsid w:val="00CF73A0"/>
    <w:rsid w:val="00CF744D"/>
    <w:rsid w:val="00CF7742"/>
    <w:rsid w:val="00CF7ABF"/>
    <w:rsid w:val="00CF7CC6"/>
    <w:rsid w:val="00D00124"/>
    <w:rsid w:val="00D00189"/>
    <w:rsid w:val="00D002B9"/>
    <w:rsid w:val="00D0056A"/>
    <w:rsid w:val="00D00579"/>
    <w:rsid w:val="00D0091A"/>
    <w:rsid w:val="00D00C3A"/>
    <w:rsid w:val="00D01411"/>
    <w:rsid w:val="00D018DC"/>
    <w:rsid w:val="00D01D3A"/>
    <w:rsid w:val="00D020DA"/>
    <w:rsid w:val="00D026AD"/>
    <w:rsid w:val="00D02C25"/>
    <w:rsid w:val="00D02CA0"/>
    <w:rsid w:val="00D02DBC"/>
    <w:rsid w:val="00D030CE"/>
    <w:rsid w:val="00D0351E"/>
    <w:rsid w:val="00D037DA"/>
    <w:rsid w:val="00D03C9B"/>
    <w:rsid w:val="00D03EB7"/>
    <w:rsid w:val="00D03F97"/>
    <w:rsid w:val="00D049B4"/>
    <w:rsid w:val="00D04E5C"/>
    <w:rsid w:val="00D0505D"/>
    <w:rsid w:val="00D052CA"/>
    <w:rsid w:val="00D0552D"/>
    <w:rsid w:val="00D055B9"/>
    <w:rsid w:val="00D05643"/>
    <w:rsid w:val="00D058C8"/>
    <w:rsid w:val="00D058D3"/>
    <w:rsid w:val="00D05A37"/>
    <w:rsid w:val="00D05B38"/>
    <w:rsid w:val="00D05C54"/>
    <w:rsid w:val="00D05CF1"/>
    <w:rsid w:val="00D05F05"/>
    <w:rsid w:val="00D05F9C"/>
    <w:rsid w:val="00D06084"/>
    <w:rsid w:val="00D060BD"/>
    <w:rsid w:val="00D06159"/>
    <w:rsid w:val="00D061A2"/>
    <w:rsid w:val="00D0628E"/>
    <w:rsid w:val="00D06755"/>
    <w:rsid w:val="00D0681F"/>
    <w:rsid w:val="00D06911"/>
    <w:rsid w:val="00D06B8C"/>
    <w:rsid w:val="00D06C79"/>
    <w:rsid w:val="00D070A7"/>
    <w:rsid w:val="00D07178"/>
    <w:rsid w:val="00D07310"/>
    <w:rsid w:val="00D0745A"/>
    <w:rsid w:val="00D075AF"/>
    <w:rsid w:val="00D0770F"/>
    <w:rsid w:val="00D077BB"/>
    <w:rsid w:val="00D0791B"/>
    <w:rsid w:val="00D07925"/>
    <w:rsid w:val="00D07A00"/>
    <w:rsid w:val="00D07D5E"/>
    <w:rsid w:val="00D07D80"/>
    <w:rsid w:val="00D10050"/>
    <w:rsid w:val="00D100BE"/>
    <w:rsid w:val="00D1037B"/>
    <w:rsid w:val="00D1045E"/>
    <w:rsid w:val="00D104DA"/>
    <w:rsid w:val="00D1068E"/>
    <w:rsid w:val="00D10691"/>
    <w:rsid w:val="00D1082A"/>
    <w:rsid w:val="00D10831"/>
    <w:rsid w:val="00D10FFA"/>
    <w:rsid w:val="00D11034"/>
    <w:rsid w:val="00D11292"/>
    <w:rsid w:val="00D1138E"/>
    <w:rsid w:val="00D114D9"/>
    <w:rsid w:val="00D11B53"/>
    <w:rsid w:val="00D127F3"/>
    <w:rsid w:val="00D12AE7"/>
    <w:rsid w:val="00D12BF3"/>
    <w:rsid w:val="00D12BF5"/>
    <w:rsid w:val="00D12C84"/>
    <w:rsid w:val="00D12DA8"/>
    <w:rsid w:val="00D12EAB"/>
    <w:rsid w:val="00D137ED"/>
    <w:rsid w:val="00D139AD"/>
    <w:rsid w:val="00D139D7"/>
    <w:rsid w:val="00D139DA"/>
    <w:rsid w:val="00D139E3"/>
    <w:rsid w:val="00D13DDC"/>
    <w:rsid w:val="00D13EDC"/>
    <w:rsid w:val="00D13F2A"/>
    <w:rsid w:val="00D13FD0"/>
    <w:rsid w:val="00D1442E"/>
    <w:rsid w:val="00D144C2"/>
    <w:rsid w:val="00D14960"/>
    <w:rsid w:val="00D14E3F"/>
    <w:rsid w:val="00D15547"/>
    <w:rsid w:val="00D155E2"/>
    <w:rsid w:val="00D15669"/>
    <w:rsid w:val="00D156CE"/>
    <w:rsid w:val="00D15800"/>
    <w:rsid w:val="00D15B0B"/>
    <w:rsid w:val="00D15E9F"/>
    <w:rsid w:val="00D15EF2"/>
    <w:rsid w:val="00D1653B"/>
    <w:rsid w:val="00D1659D"/>
    <w:rsid w:val="00D1685E"/>
    <w:rsid w:val="00D16A48"/>
    <w:rsid w:val="00D16C49"/>
    <w:rsid w:val="00D16C4C"/>
    <w:rsid w:val="00D16D52"/>
    <w:rsid w:val="00D16DBA"/>
    <w:rsid w:val="00D16E89"/>
    <w:rsid w:val="00D17080"/>
    <w:rsid w:val="00D175E9"/>
    <w:rsid w:val="00D17674"/>
    <w:rsid w:val="00D17C1C"/>
    <w:rsid w:val="00D17C4F"/>
    <w:rsid w:val="00D17F8B"/>
    <w:rsid w:val="00D20166"/>
    <w:rsid w:val="00D206EA"/>
    <w:rsid w:val="00D20710"/>
    <w:rsid w:val="00D20E39"/>
    <w:rsid w:val="00D20F4B"/>
    <w:rsid w:val="00D21858"/>
    <w:rsid w:val="00D2223B"/>
    <w:rsid w:val="00D2238E"/>
    <w:rsid w:val="00D2246F"/>
    <w:rsid w:val="00D22BE2"/>
    <w:rsid w:val="00D22CDD"/>
    <w:rsid w:val="00D2314A"/>
    <w:rsid w:val="00D231F2"/>
    <w:rsid w:val="00D23384"/>
    <w:rsid w:val="00D233E9"/>
    <w:rsid w:val="00D23A08"/>
    <w:rsid w:val="00D23B42"/>
    <w:rsid w:val="00D23BBF"/>
    <w:rsid w:val="00D23BD5"/>
    <w:rsid w:val="00D23F12"/>
    <w:rsid w:val="00D2433F"/>
    <w:rsid w:val="00D24397"/>
    <w:rsid w:val="00D244A2"/>
    <w:rsid w:val="00D2468B"/>
    <w:rsid w:val="00D2469F"/>
    <w:rsid w:val="00D246EE"/>
    <w:rsid w:val="00D2473F"/>
    <w:rsid w:val="00D24E2A"/>
    <w:rsid w:val="00D24FB5"/>
    <w:rsid w:val="00D253A3"/>
    <w:rsid w:val="00D253E5"/>
    <w:rsid w:val="00D254EC"/>
    <w:rsid w:val="00D2587D"/>
    <w:rsid w:val="00D25A2F"/>
    <w:rsid w:val="00D25B9D"/>
    <w:rsid w:val="00D25E84"/>
    <w:rsid w:val="00D26378"/>
    <w:rsid w:val="00D266C8"/>
    <w:rsid w:val="00D267DB"/>
    <w:rsid w:val="00D26911"/>
    <w:rsid w:val="00D26BD9"/>
    <w:rsid w:val="00D26F00"/>
    <w:rsid w:val="00D26F93"/>
    <w:rsid w:val="00D27022"/>
    <w:rsid w:val="00D2720A"/>
    <w:rsid w:val="00D274F6"/>
    <w:rsid w:val="00D27A9A"/>
    <w:rsid w:val="00D27C39"/>
    <w:rsid w:val="00D300B8"/>
    <w:rsid w:val="00D30569"/>
    <w:rsid w:val="00D307DF"/>
    <w:rsid w:val="00D30984"/>
    <w:rsid w:val="00D3099E"/>
    <w:rsid w:val="00D309A7"/>
    <w:rsid w:val="00D30B69"/>
    <w:rsid w:val="00D30E34"/>
    <w:rsid w:val="00D30F40"/>
    <w:rsid w:val="00D3164D"/>
    <w:rsid w:val="00D32530"/>
    <w:rsid w:val="00D3279C"/>
    <w:rsid w:val="00D328EB"/>
    <w:rsid w:val="00D32C39"/>
    <w:rsid w:val="00D3345E"/>
    <w:rsid w:val="00D3397E"/>
    <w:rsid w:val="00D33C0F"/>
    <w:rsid w:val="00D33CF8"/>
    <w:rsid w:val="00D33F5C"/>
    <w:rsid w:val="00D33FC5"/>
    <w:rsid w:val="00D3457B"/>
    <w:rsid w:val="00D34B0C"/>
    <w:rsid w:val="00D34C7E"/>
    <w:rsid w:val="00D34D86"/>
    <w:rsid w:val="00D34DB4"/>
    <w:rsid w:val="00D351DC"/>
    <w:rsid w:val="00D35657"/>
    <w:rsid w:val="00D35866"/>
    <w:rsid w:val="00D359AD"/>
    <w:rsid w:val="00D35AA0"/>
    <w:rsid w:val="00D35F88"/>
    <w:rsid w:val="00D360C3"/>
    <w:rsid w:val="00D36257"/>
    <w:rsid w:val="00D362AF"/>
    <w:rsid w:val="00D363C2"/>
    <w:rsid w:val="00D3645F"/>
    <w:rsid w:val="00D365E9"/>
    <w:rsid w:val="00D36A3B"/>
    <w:rsid w:val="00D36AFF"/>
    <w:rsid w:val="00D37062"/>
    <w:rsid w:val="00D37516"/>
    <w:rsid w:val="00D375C2"/>
    <w:rsid w:val="00D37825"/>
    <w:rsid w:val="00D378DB"/>
    <w:rsid w:val="00D400AE"/>
    <w:rsid w:val="00D401F5"/>
    <w:rsid w:val="00D40357"/>
    <w:rsid w:val="00D406F1"/>
    <w:rsid w:val="00D4081A"/>
    <w:rsid w:val="00D40992"/>
    <w:rsid w:val="00D40B47"/>
    <w:rsid w:val="00D40F08"/>
    <w:rsid w:val="00D4112F"/>
    <w:rsid w:val="00D414BD"/>
    <w:rsid w:val="00D41A60"/>
    <w:rsid w:val="00D41AB0"/>
    <w:rsid w:val="00D41F4C"/>
    <w:rsid w:val="00D4204C"/>
    <w:rsid w:val="00D42076"/>
    <w:rsid w:val="00D425A5"/>
    <w:rsid w:val="00D42714"/>
    <w:rsid w:val="00D42A98"/>
    <w:rsid w:val="00D42AE6"/>
    <w:rsid w:val="00D42C6E"/>
    <w:rsid w:val="00D42D59"/>
    <w:rsid w:val="00D42E9F"/>
    <w:rsid w:val="00D42F2D"/>
    <w:rsid w:val="00D433DA"/>
    <w:rsid w:val="00D43654"/>
    <w:rsid w:val="00D436EE"/>
    <w:rsid w:val="00D43782"/>
    <w:rsid w:val="00D439E1"/>
    <w:rsid w:val="00D43A3F"/>
    <w:rsid w:val="00D43A84"/>
    <w:rsid w:val="00D44177"/>
    <w:rsid w:val="00D44207"/>
    <w:rsid w:val="00D4481F"/>
    <w:rsid w:val="00D4483F"/>
    <w:rsid w:val="00D44A21"/>
    <w:rsid w:val="00D44E3B"/>
    <w:rsid w:val="00D44E93"/>
    <w:rsid w:val="00D4539F"/>
    <w:rsid w:val="00D453F8"/>
    <w:rsid w:val="00D45425"/>
    <w:rsid w:val="00D45835"/>
    <w:rsid w:val="00D459B9"/>
    <w:rsid w:val="00D45AF8"/>
    <w:rsid w:val="00D45FC5"/>
    <w:rsid w:val="00D45FE5"/>
    <w:rsid w:val="00D460C7"/>
    <w:rsid w:val="00D462E7"/>
    <w:rsid w:val="00D463AE"/>
    <w:rsid w:val="00D466F7"/>
    <w:rsid w:val="00D46A79"/>
    <w:rsid w:val="00D46FCC"/>
    <w:rsid w:val="00D4790F"/>
    <w:rsid w:val="00D47AA2"/>
    <w:rsid w:val="00D47B40"/>
    <w:rsid w:val="00D5029E"/>
    <w:rsid w:val="00D50378"/>
    <w:rsid w:val="00D5040F"/>
    <w:rsid w:val="00D5051A"/>
    <w:rsid w:val="00D5061A"/>
    <w:rsid w:val="00D50624"/>
    <w:rsid w:val="00D50A40"/>
    <w:rsid w:val="00D50CF0"/>
    <w:rsid w:val="00D50EAA"/>
    <w:rsid w:val="00D5113C"/>
    <w:rsid w:val="00D51364"/>
    <w:rsid w:val="00D51541"/>
    <w:rsid w:val="00D51686"/>
    <w:rsid w:val="00D519A8"/>
    <w:rsid w:val="00D51AE1"/>
    <w:rsid w:val="00D51B10"/>
    <w:rsid w:val="00D51CC5"/>
    <w:rsid w:val="00D520B5"/>
    <w:rsid w:val="00D5231F"/>
    <w:rsid w:val="00D52C06"/>
    <w:rsid w:val="00D531C1"/>
    <w:rsid w:val="00D539F6"/>
    <w:rsid w:val="00D53C67"/>
    <w:rsid w:val="00D53D74"/>
    <w:rsid w:val="00D53F47"/>
    <w:rsid w:val="00D545E6"/>
    <w:rsid w:val="00D5468D"/>
    <w:rsid w:val="00D54961"/>
    <w:rsid w:val="00D54BF7"/>
    <w:rsid w:val="00D54C01"/>
    <w:rsid w:val="00D54E53"/>
    <w:rsid w:val="00D55263"/>
    <w:rsid w:val="00D5541E"/>
    <w:rsid w:val="00D55564"/>
    <w:rsid w:val="00D55CA3"/>
    <w:rsid w:val="00D55E26"/>
    <w:rsid w:val="00D55EAD"/>
    <w:rsid w:val="00D56162"/>
    <w:rsid w:val="00D5620F"/>
    <w:rsid w:val="00D562C6"/>
    <w:rsid w:val="00D56434"/>
    <w:rsid w:val="00D5668F"/>
    <w:rsid w:val="00D567A2"/>
    <w:rsid w:val="00D56AF1"/>
    <w:rsid w:val="00D56C93"/>
    <w:rsid w:val="00D56FBB"/>
    <w:rsid w:val="00D56FC3"/>
    <w:rsid w:val="00D572BA"/>
    <w:rsid w:val="00D5769D"/>
    <w:rsid w:val="00D576AF"/>
    <w:rsid w:val="00D57819"/>
    <w:rsid w:val="00D578D0"/>
    <w:rsid w:val="00D57AAB"/>
    <w:rsid w:val="00D57C8D"/>
    <w:rsid w:val="00D6030E"/>
    <w:rsid w:val="00D6033A"/>
    <w:rsid w:val="00D6061A"/>
    <w:rsid w:val="00D60792"/>
    <w:rsid w:val="00D60871"/>
    <w:rsid w:val="00D60964"/>
    <w:rsid w:val="00D60B0D"/>
    <w:rsid w:val="00D60C9C"/>
    <w:rsid w:val="00D60EAE"/>
    <w:rsid w:val="00D611B3"/>
    <w:rsid w:val="00D611B5"/>
    <w:rsid w:val="00D615C5"/>
    <w:rsid w:val="00D61718"/>
    <w:rsid w:val="00D61A61"/>
    <w:rsid w:val="00D61BDC"/>
    <w:rsid w:val="00D61D6B"/>
    <w:rsid w:val="00D61F11"/>
    <w:rsid w:val="00D620F3"/>
    <w:rsid w:val="00D623AC"/>
    <w:rsid w:val="00D623CE"/>
    <w:rsid w:val="00D6284B"/>
    <w:rsid w:val="00D62E7C"/>
    <w:rsid w:val="00D6346A"/>
    <w:rsid w:val="00D6366C"/>
    <w:rsid w:val="00D63F8E"/>
    <w:rsid w:val="00D63FDF"/>
    <w:rsid w:val="00D64663"/>
    <w:rsid w:val="00D647CC"/>
    <w:rsid w:val="00D64B48"/>
    <w:rsid w:val="00D64BE8"/>
    <w:rsid w:val="00D64C12"/>
    <w:rsid w:val="00D64DBE"/>
    <w:rsid w:val="00D650EA"/>
    <w:rsid w:val="00D65315"/>
    <w:rsid w:val="00D65317"/>
    <w:rsid w:val="00D65799"/>
    <w:rsid w:val="00D6595B"/>
    <w:rsid w:val="00D65C74"/>
    <w:rsid w:val="00D65FFA"/>
    <w:rsid w:val="00D662FB"/>
    <w:rsid w:val="00D66CBC"/>
    <w:rsid w:val="00D66E35"/>
    <w:rsid w:val="00D66F94"/>
    <w:rsid w:val="00D670CB"/>
    <w:rsid w:val="00D675DC"/>
    <w:rsid w:val="00D677AB"/>
    <w:rsid w:val="00D67CF4"/>
    <w:rsid w:val="00D67E3E"/>
    <w:rsid w:val="00D67EE3"/>
    <w:rsid w:val="00D701FB"/>
    <w:rsid w:val="00D7116C"/>
    <w:rsid w:val="00D71B37"/>
    <w:rsid w:val="00D71F9F"/>
    <w:rsid w:val="00D72138"/>
    <w:rsid w:val="00D725C3"/>
    <w:rsid w:val="00D7274D"/>
    <w:rsid w:val="00D728E8"/>
    <w:rsid w:val="00D72EF3"/>
    <w:rsid w:val="00D72FF4"/>
    <w:rsid w:val="00D730F6"/>
    <w:rsid w:val="00D733B6"/>
    <w:rsid w:val="00D733F1"/>
    <w:rsid w:val="00D7365D"/>
    <w:rsid w:val="00D73920"/>
    <w:rsid w:val="00D73A24"/>
    <w:rsid w:val="00D73D4B"/>
    <w:rsid w:val="00D73DA5"/>
    <w:rsid w:val="00D7404F"/>
    <w:rsid w:val="00D742A2"/>
    <w:rsid w:val="00D74523"/>
    <w:rsid w:val="00D7465E"/>
    <w:rsid w:val="00D74685"/>
    <w:rsid w:val="00D7473E"/>
    <w:rsid w:val="00D74919"/>
    <w:rsid w:val="00D74D2A"/>
    <w:rsid w:val="00D7547F"/>
    <w:rsid w:val="00D756A9"/>
    <w:rsid w:val="00D7578E"/>
    <w:rsid w:val="00D758ED"/>
    <w:rsid w:val="00D75BF3"/>
    <w:rsid w:val="00D75C07"/>
    <w:rsid w:val="00D75CFC"/>
    <w:rsid w:val="00D75E3E"/>
    <w:rsid w:val="00D75FBE"/>
    <w:rsid w:val="00D76565"/>
    <w:rsid w:val="00D76B14"/>
    <w:rsid w:val="00D76B93"/>
    <w:rsid w:val="00D76F90"/>
    <w:rsid w:val="00D7734C"/>
    <w:rsid w:val="00D773E6"/>
    <w:rsid w:val="00D775BD"/>
    <w:rsid w:val="00D77714"/>
    <w:rsid w:val="00D777EA"/>
    <w:rsid w:val="00D77E76"/>
    <w:rsid w:val="00D77ECB"/>
    <w:rsid w:val="00D77FEF"/>
    <w:rsid w:val="00D8013C"/>
    <w:rsid w:val="00D808A3"/>
    <w:rsid w:val="00D80AED"/>
    <w:rsid w:val="00D80B90"/>
    <w:rsid w:val="00D810FD"/>
    <w:rsid w:val="00D81A85"/>
    <w:rsid w:val="00D81FBF"/>
    <w:rsid w:val="00D82086"/>
    <w:rsid w:val="00D823E1"/>
    <w:rsid w:val="00D824CF"/>
    <w:rsid w:val="00D824F3"/>
    <w:rsid w:val="00D8281E"/>
    <w:rsid w:val="00D82BC0"/>
    <w:rsid w:val="00D82C29"/>
    <w:rsid w:val="00D82F88"/>
    <w:rsid w:val="00D8346B"/>
    <w:rsid w:val="00D837D4"/>
    <w:rsid w:val="00D83D44"/>
    <w:rsid w:val="00D83F6A"/>
    <w:rsid w:val="00D842C7"/>
    <w:rsid w:val="00D843D8"/>
    <w:rsid w:val="00D8458A"/>
    <w:rsid w:val="00D846C8"/>
    <w:rsid w:val="00D848E9"/>
    <w:rsid w:val="00D849EA"/>
    <w:rsid w:val="00D84B37"/>
    <w:rsid w:val="00D84E92"/>
    <w:rsid w:val="00D8511D"/>
    <w:rsid w:val="00D8550B"/>
    <w:rsid w:val="00D855A6"/>
    <w:rsid w:val="00D85782"/>
    <w:rsid w:val="00D85975"/>
    <w:rsid w:val="00D85D11"/>
    <w:rsid w:val="00D85EFF"/>
    <w:rsid w:val="00D8608C"/>
    <w:rsid w:val="00D866C5"/>
    <w:rsid w:val="00D8673D"/>
    <w:rsid w:val="00D8685A"/>
    <w:rsid w:val="00D86912"/>
    <w:rsid w:val="00D86ACC"/>
    <w:rsid w:val="00D87868"/>
    <w:rsid w:val="00D87A2E"/>
    <w:rsid w:val="00D87AC3"/>
    <w:rsid w:val="00D87B32"/>
    <w:rsid w:val="00D87E62"/>
    <w:rsid w:val="00D87EE3"/>
    <w:rsid w:val="00D901A3"/>
    <w:rsid w:val="00D902A5"/>
    <w:rsid w:val="00D90306"/>
    <w:rsid w:val="00D905DF"/>
    <w:rsid w:val="00D90836"/>
    <w:rsid w:val="00D90A65"/>
    <w:rsid w:val="00D90E4E"/>
    <w:rsid w:val="00D91211"/>
    <w:rsid w:val="00D913A9"/>
    <w:rsid w:val="00D9172F"/>
    <w:rsid w:val="00D91BDA"/>
    <w:rsid w:val="00D91F66"/>
    <w:rsid w:val="00D92313"/>
    <w:rsid w:val="00D923E0"/>
    <w:rsid w:val="00D92403"/>
    <w:rsid w:val="00D92C50"/>
    <w:rsid w:val="00D92F9E"/>
    <w:rsid w:val="00D93359"/>
    <w:rsid w:val="00D94023"/>
    <w:rsid w:val="00D94CDA"/>
    <w:rsid w:val="00D94D96"/>
    <w:rsid w:val="00D94E02"/>
    <w:rsid w:val="00D9519C"/>
    <w:rsid w:val="00D95201"/>
    <w:rsid w:val="00D953CA"/>
    <w:rsid w:val="00D9565B"/>
    <w:rsid w:val="00D95988"/>
    <w:rsid w:val="00D95B24"/>
    <w:rsid w:val="00D95D36"/>
    <w:rsid w:val="00D95D54"/>
    <w:rsid w:val="00D9601E"/>
    <w:rsid w:val="00D9655B"/>
    <w:rsid w:val="00D96902"/>
    <w:rsid w:val="00D96BE5"/>
    <w:rsid w:val="00D96C8A"/>
    <w:rsid w:val="00D96D21"/>
    <w:rsid w:val="00D96F36"/>
    <w:rsid w:val="00D97097"/>
    <w:rsid w:val="00D971FA"/>
    <w:rsid w:val="00D9726C"/>
    <w:rsid w:val="00D97ABA"/>
    <w:rsid w:val="00D97C45"/>
    <w:rsid w:val="00D97D21"/>
    <w:rsid w:val="00D97D94"/>
    <w:rsid w:val="00D97E90"/>
    <w:rsid w:val="00D97F1C"/>
    <w:rsid w:val="00DA08E8"/>
    <w:rsid w:val="00DA0D80"/>
    <w:rsid w:val="00DA1411"/>
    <w:rsid w:val="00DA1535"/>
    <w:rsid w:val="00DA1595"/>
    <w:rsid w:val="00DA16D0"/>
    <w:rsid w:val="00DA184B"/>
    <w:rsid w:val="00DA1BDA"/>
    <w:rsid w:val="00DA1DE9"/>
    <w:rsid w:val="00DA1E90"/>
    <w:rsid w:val="00DA1E95"/>
    <w:rsid w:val="00DA1E98"/>
    <w:rsid w:val="00DA20A5"/>
    <w:rsid w:val="00DA20C0"/>
    <w:rsid w:val="00DA20FA"/>
    <w:rsid w:val="00DA27F4"/>
    <w:rsid w:val="00DA2968"/>
    <w:rsid w:val="00DA2982"/>
    <w:rsid w:val="00DA2AA9"/>
    <w:rsid w:val="00DA2CAB"/>
    <w:rsid w:val="00DA2D01"/>
    <w:rsid w:val="00DA3828"/>
    <w:rsid w:val="00DA3C81"/>
    <w:rsid w:val="00DA4065"/>
    <w:rsid w:val="00DA40C0"/>
    <w:rsid w:val="00DA41A4"/>
    <w:rsid w:val="00DA4654"/>
    <w:rsid w:val="00DA5308"/>
    <w:rsid w:val="00DA540A"/>
    <w:rsid w:val="00DA54F5"/>
    <w:rsid w:val="00DA57BE"/>
    <w:rsid w:val="00DA5A15"/>
    <w:rsid w:val="00DA5D84"/>
    <w:rsid w:val="00DA5E00"/>
    <w:rsid w:val="00DA5F7C"/>
    <w:rsid w:val="00DA6027"/>
    <w:rsid w:val="00DA62C3"/>
    <w:rsid w:val="00DA64C3"/>
    <w:rsid w:val="00DA6524"/>
    <w:rsid w:val="00DA655E"/>
    <w:rsid w:val="00DA6AA2"/>
    <w:rsid w:val="00DA6C7A"/>
    <w:rsid w:val="00DA7017"/>
    <w:rsid w:val="00DA7228"/>
    <w:rsid w:val="00DA72B2"/>
    <w:rsid w:val="00DA72D0"/>
    <w:rsid w:val="00DA75DC"/>
    <w:rsid w:val="00DA7AE0"/>
    <w:rsid w:val="00DA7B71"/>
    <w:rsid w:val="00DA7F34"/>
    <w:rsid w:val="00DA7F4C"/>
    <w:rsid w:val="00DB0576"/>
    <w:rsid w:val="00DB06F0"/>
    <w:rsid w:val="00DB09BF"/>
    <w:rsid w:val="00DB0AF6"/>
    <w:rsid w:val="00DB0B6F"/>
    <w:rsid w:val="00DB0D07"/>
    <w:rsid w:val="00DB0E75"/>
    <w:rsid w:val="00DB0F63"/>
    <w:rsid w:val="00DB19B6"/>
    <w:rsid w:val="00DB1B96"/>
    <w:rsid w:val="00DB1C11"/>
    <w:rsid w:val="00DB1D50"/>
    <w:rsid w:val="00DB20D3"/>
    <w:rsid w:val="00DB22F4"/>
    <w:rsid w:val="00DB2375"/>
    <w:rsid w:val="00DB27D1"/>
    <w:rsid w:val="00DB2ADF"/>
    <w:rsid w:val="00DB2BF3"/>
    <w:rsid w:val="00DB2BF4"/>
    <w:rsid w:val="00DB2EC0"/>
    <w:rsid w:val="00DB324A"/>
    <w:rsid w:val="00DB36CF"/>
    <w:rsid w:val="00DB3813"/>
    <w:rsid w:val="00DB38BA"/>
    <w:rsid w:val="00DB39D9"/>
    <w:rsid w:val="00DB3BFF"/>
    <w:rsid w:val="00DB3EF6"/>
    <w:rsid w:val="00DB4012"/>
    <w:rsid w:val="00DB407C"/>
    <w:rsid w:val="00DB4130"/>
    <w:rsid w:val="00DB41AC"/>
    <w:rsid w:val="00DB43B4"/>
    <w:rsid w:val="00DB450D"/>
    <w:rsid w:val="00DB48B0"/>
    <w:rsid w:val="00DB4B1A"/>
    <w:rsid w:val="00DB4EBF"/>
    <w:rsid w:val="00DB4FDA"/>
    <w:rsid w:val="00DB5078"/>
    <w:rsid w:val="00DB5168"/>
    <w:rsid w:val="00DB5466"/>
    <w:rsid w:val="00DB54C7"/>
    <w:rsid w:val="00DB5908"/>
    <w:rsid w:val="00DB5A84"/>
    <w:rsid w:val="00DB5AAC"/>
    <w:rsid w:val="00DB5BEC"/>
    <w:rsid w:val="00DB5C5C"/>
    <w:rsid w:val="00DB5DA7"/>
    <w:rsid w:val="00DB6028"/>
    <w:rsid w:val="00DB60F5"/>
    <w:rsid w:val="00DB61AA"/>
    <w:rsid w:val="00DB6639"/>
    <w:rsid w:val="00DB6772"/>
    <w:rsid w:val="00DB68BC"/>
    <w:rsid w:val="00DB6A1B"/>
    <w:rsid w:val="00DB6B7E"/>
    <w:rsid w:val="00DB6CBC"/>
    <w:rsid w:val="00DB6CC6"/>
    <w:rsid w:val="00DB6D11"/>
    <w:rsid w:val="00DB6EA7"/>
    <w:rsid w:val="00DB762A"/>
    <w:rsid w:val="00DC000A"/>
    <w:rsid w:val="00DC0726"/>
    <w:rsid w:val="00DC0979"/>
    <w:rsid w:val="00DC0AFB"/>
    <w:rsid w:val="00DC0E7A"/>
    <w:rsid w:val="00DC0ECE"/>
    <w:rsid w:val="00DC0F13"/>
    <w:rsid w:val="00DC0F2D"/>
    <w:rsid w:val="00DC0FEA"/>
    <w:rsid w:val="00DC1018"/>
    <w:rsid w:val="00DC17E0"/>
    <w:rsid w:val="00DC1A7B"/>
    <w:rsid w:val="00DC1D40"/>
    <w:rsid w:val="00DC1D58"/>
    <w:rsid w:val="00DC1D65"/>
    <w:rsid w:val="00DC1EA5"/>
    <w:rsid w:val="00DC2056"/>
    <w:rsid w:val="00DC2098"/>
    <w:rsid w:val="00DC20C3"/>
    <w:rsid w:val="00DC2485"/>
    <w:rsid w:val="00DC2590"/>
    <w:rsid w:val="00DC27DC"/>
    <w:rsid w:val="00DC29DE"/>
    <w:rsid w:val="00DC2BDA"/>
    <w:rsid w:val="00DC2D09"/>
    <w:rsid w:val="00DC2D5C"/>
    <w:rsid w:val="00DC3010"/>
    <w:rsid w:val="00DC301F"/>
    <w:rsid w:val="00DC30F3"/>
    <w:rsid w:val="00DC3606"/>
    <w:rsid w:val="00DC3768"/>
    <w:rsid w:val="00DC37F7"/>
    <w:rsid w:val="00DC38E4"/>
    <w:rsid w:val="00DC3964"/>
    <w:rsid w:val="00DC39D2"/>
    <w:rsid w:val="00DC48BF"/>
    <w:rsid w:val="00DC4927"/>
    <w:rsid w:val="00DC5180"/>
    <w:rsid w:val="00DC54A6"/>
    <w:rsid w:val="00DC55A2"/>
    <w:rsid w:val="00DC5B4A"/>
    <w:rsid w:val="00DC5B6D"/>
    <w:rsid w:val="00DC5C49"/>
    <w:rsid w:val="00DC5D25"/>
    <w:rsid w:val="00DC5FF2"/>
    <w:rsid w:val="00DC63BA"/>
    <w:rsid w:val="00DC668C"/>
    <w:rsid w:val="00DC6A89"/>
    <w:rsid w:val="00DC6BF8"/>
    <w:rsid w:val="00DC70E6"/>
    <w:rsid w:val="00DC7134"/>
    <w:rsid w:val="00DC72A9"/>
    <w:rsid w:val="00DC733A"/>
    <w:rsid w:val="00DC75DA"/>
    <w:rsid w:val="00DC7A1D"/>
    <w:rsid w:val="00DC7B63"/>
    <w:rsid w:val="00DC7CB5"/>
    <w:rsid w:val="00DC7F78"/>
    <w:rsid w:val="00DD0117"/>
    <w:rsid w:val="00DD0B5E"/>
    <w:rsid w:val="00DD0B91"/>
    <w:rsid w:val="00DD0C73"/>
    <w:rsid w:val="00DD0F98"/>
    <w:rsid w:val="00DD18F1"/>
    <w:rsid w:val="00DD1A88"/>
    <w:rsid w:val="00DD1AC9"/>
    <w:rsid w:val="00DD1B30"/>
    <w:rsid w:val="00DD1F20"/>
    <w:rsid w:val="00DD212C"/>
    <w:rsid w:val="00DD2132"/>
    <w:rsid w:val="00DD21BA"/>
    <w:rsid w:val="00DD2222"/>
    <w:rsid w:val="00DD2300"/>
    <w:rsid w:val="00DD252F"/>
    <w:rsid w:val="00DD254B"/>
    <w:rsid w:val="00DD2C07"/>
    <w:rsid w:val="00DD2DD9"/>
    <w:rsid w:val="00DD2ED1"/>
    <w:rsid w:val="00DD3280"/>
    <w:rsid w:val="00DD3418"/>
    <w:rsid w:val="00DD34C8"/>
    <w:rsid w:val="00DD3719"/>
    <w:rsid w:val="00DD3AFB"/>
    <w:rsid w:val="00DD3E66"/>
    <w:rsid w:val="00DD3EAF"/>
    <w:rsid w:val="00DD3ECE"/>
    <w:rsid w:val="00DD4019"/>
    <w:rsid w:val="00DD45A0"/>
    <w:rsid w:val="00DD4905"/>
    <w:rsid w:val="00DD4B05"/>
    <w:rsid w:val="00DD51A4"/>
    <w:rsid w:val="00DD51CC"/>
    <w:rsid w:val="00DD58C4"/>
    <w:rsid w:val="00DD58CF"/>
    <w:rsid w:val="00DD5D17"/>
    <w:rsid w:val="00DD5D98"/>
    <w:rsid w:val="00DD5E57"/>
    <w:rsid w:val="00DD60AD"/>
    <w:rsid w:val="00DD62DE"/>
    <w:rsid w:val="00DD64FE"/>
    <w:rsid w:val="00DD6741"/>
    <w:rsid w:val="00DD6966"/>
    <w:rsid w:val="00DD6C5E"/>
    <w:rsid w:val="00DD6E03"/>
    <w:rsid w:val="00DD70C2"/>
    <w:rsid w:val="00DD72FA"/>
    <w:rsid w:val="00DD780D"/>
    <w:rsid w:val="00DD7874"/>
    <w:rsid w:val="00DD7C8C"/>
    <w:rsid w:val="00DD7CAE"/>
    <w:rsid w:val="00DD7DB5"/>
    <w:rsid w:val="00DD7DED"/>
    <w:rsid w:val="00DE00B1"/>
    <w:rsid w:val="00DE0C0E"/>
    <w:rsid w:val="00DE0C7A"/>
    <w:rsid w:val="00DE0FB6"/>
    <w:rsid w:val="00DE1178"/>
    <w:rsid w:val="00DE15E4"/>
    <w:rsid w:val="00DE16C6"/>
    <w:rsid w:val="00DE1778"/>
    <w:rsid w:val="00DE1855"/>
    <w:rsid w:val="00DE1A83"/>
    <w:rsid w:val="00DE2020"/>
    <w:rsid w:val="00DE219A"/>
    <w:rsid w:val="00DE27D7"/>
    <w:rsid w:val="00DE2818"/>
    <w:rsid w:val="00DE287C"/>
    <w:rsid w:val="00DE29E6"/>
    <w:rsid w:val="00DE2AED"/>
    <w:rsid w:val="00DE2D5C"/>
    <w:rsid w:val="00DE333E"/>
    <w:rsid w:val="00DE353E"/>
    <w:rsid w:val="00DE3542"/>
    <w:rsid w:val="00DE3961"/>
    <w:rsid w:val="00DE3F1B"/>
    <w:rsid w:val="00DE42DC"/>
    <w:rsid w:val="00DE438D"/>
    <w:rsid w:val="00DE43BE"/>
    <w:rsid w:val="00DE44AE"/>
    <w:rsid w:val="00DE4737"/>
    <w:rsid w:val="00DE4A7A"/>
    <w:rsid w:val="00DE4C41"/>
    <w:rsid w:val="00DE4EF4"/>
    <w:rsid w:val="00DE5270"/>
    <w:rsid w:val="00DE527E"/>
    <w:rsid w:val="00DE53BF"/>
    <w:rsid w:val="00DE550A"/>
    <w:rsid w:val="00DE5C3B"/>
    <w:rsid w:val="00DE5D39"/>
    <w:rsid w:val="00DE60E6"/>
    <w:rsid w:val="00DE61FC"/>
    <w:rsid w:val="00DE6486"/>
    <w:rsid w:val="00DE64D0"/>
    <w:rsid w:val="00DE65CB"/>
    <w:rsid w:val="00DE6635"/>
    <w:rsid w:val="00DE66B2"/>
    <w:rsid w:val="00DE6A95"/>
    <w:rsid w:val="00DE6F8A"/>
    <w:rsid w:val="00DE776E"/>
    <w:rsid w:val="00DE7B0A"/>
    <w:rsid w:val="00DE7B68"/>
    <w:rsid w:val="00DE7F68"/>
    <w:rsid w:val="00DF01CF"/>
    <w:rsid w:val="00DF0486"/>
    <w:rsid w:val="00DF0895"/>
    <w:rsid w:val="00DF08D7"/>
    <w:rsid w:val="00DF0CAC"/>
    <w:rsid w:val="00DF0E8A"/>
    <w:rsid w:val="00DF0F4D"/>
    <w:rsid w:val="00DF10A3"/>
    <w:rsid w:val="00DF115F"/>
    <w:rsid w:val="00DF1396"/>
    <w:rsid w:val="00DF1A91"/>
    <w:rsid w:val="00DF1B2E"/>
    <w:rsid w:val="00DF1EDA"/>
    <w:rsid w:val="00DF20B9"/>
    <w:rsid w:val="00DF2100"/>
    <w:rsid w:val="00DF25C0"/>
    <w:rsid w:val="00DF25D1"/>
    <w:rsid w:val="00DF25D7"/>
    <w:rsid w:val="00DF27DF"/>
    <w:rsid w:val="00DF280B"/>
    <w:rsid w:val="00DF2980"/>
    <w:rsid w:val="00DF2B66"/>
    <w:rsid w:val="00DF2C44"/>
    <w:rsid w:val="00DF2ED3"/>
    <w:rsid w:val="00DF2F70"/>
    <w:rsid w:val="00DF2FA9"/>
    <w:rsid w:val="00DF31E9"/>
    <w:rsid w:val="00DF346D"/>
    <w:rsid w:val="00DF3470"/>
    <w:rsid w:val="00DF3596"/>
    <w:rsid w:val="00DF3657"/>
    <w:rsid w:val="00DF3C0A"/>
    <w:rsid w:val="00DF3DE8"/>
    <w:rsid w:val="00DF3FB7"/>
    <w:rsid w:val="00DF414F"/>
    <w:rsid w:val="00DF43FF"/>
    <w:rsid w:val="00DF4537"/>
    <w:rsid w:val="00DF45B2"/>
    <w:rsid w:val="00DF468C"/>
    <w:rsid w:val="00DF46F1"/>
    <w:rsid w:val="00DF47BD"/>
    <w:rsid w:val="00DF4B35"/>
    <w:rsid w:val="00DF4E64"/>
    <w:rsid w:val="00DF55FB"/>
    <w:rsid w:val="00DF5715"/>
    <w:rsid w:val="00DF59E3"/>
    <w:rsid w:val="00DF5BAF"/>
    <w:rsid w:val="00DF5F12"/>
    <w:rsid w:val="00DF60CB"/>
    <w:rsid w:val="00DF6730"/>
    <w:rsid w:val="00DF6AFB"/>
    <w:rsid w:val="00DF71CF"/>
    <w:rsid w:val="00DF7245"/>
    <w:rsid w:val="00DF724C"/>
    <w:rsid w:val="00DF74A5"/>
    <w:rsid w:val="00DF74F8"/>
    <w:rsid w:val="00DF7807"/>
    <w:rsid w:val="00DF7915"/>
    <w:rsid w:val="00DF7DD3"/>
    <w:rsid w:val="00DF7E4A"/>
    <w:rsid w:val="00E00231"/>
    <w:rsid w:val="00E0059B"/>
    <w:rsid w:val="00E0078F"/>
    <w:rsid w:val="00E00BA6"/>
    <w:rsid w:val="00E00C9B"/>
    <w:rsid w:val="00E00D7C"/>
    <w:rsid w:val="00E00E1E"/>
    <w:rsid w:val="00E00FAF"/>
    <w:rsid w:val="00E00FBA"/>
    <w:rsid w:val="00E00FEF"/>
    <w:rsid w:val="00E01422"/>
    <w:rsid w:val="00E01A15"/>
    <w:rsid w:val="00E01DCC"/>
    <w:rsid w:val="00E01E2E"/>
    <w:rsid w:val="00E020C7"/>
    <w:rsid w:val="00E02357"/>
    <w:rsid w:val="00E02466"/>
    <w:rsid w:val="00E0254F"/>
    <w:rsid w:val="00E0289D"/>
    <w:rsid w:val="00E02B9F"/>
    <w:rsid w:val="00E03026"/>
    <w:rsid w:val="00E03302"/>
    <w:rsid w:val="00E033EF"/>
    <w:rsid w:val="00E035CA"/>
    <w:rsid w:val="00E03A58"/>
    <w:rsid w:val="00E03B71"/>
    <w:rsid w:val="00E03C41"/>
    <w:rsid w:val="00E03D2B"/>
    <w:rsid w:val="00E04394"/>
    <w:rsid w:val="00E043C5"/>
    <w:rsid w:val="00E04433"/>
    <w:rsid w:val="00E04456"/>
    <w:rsid w:val="00E04530"/>
    <w:rsid w:val="00E04C24"/>
    <w:rsid w:val="00E04C94"/>
    <w:rsid w:val="00E05130"/>
    <w:rsid w:val="00E0523E"/>
    <w:rsid w:val="00E053D7"/>
    <w:rsid w:val="00E0568B"/>
    <w:rsid w:val="00E05D1A"/>
    <w:rsid w:val="00E05D5F"/>
    <w:rsid w:val="00E06038"/>
    <w:rsid w:val="00E06134"/>
    <w:rsid w:val="00E061F9"/>
    <w:rsid w:val="00E0622F"/>
    <w:rsid w:val="00E06233"/>
    <w:rsid w:val="00E06568"/>
    <w:rsid w:val="00E067DF"/>
    <w:rsid w:val="00E067FA"/>
    <w:rsid w:val="00E06821"/>
    <w:rsid w:val="00E06CE6"/>
    <w:rsid w:val="00E06F21"/>
    <w:rsid w:val="00E07042"/>
    <w:rsid w:val="00E0704A"/>
    <w:rsid w:val="00E0716D"/>
    <w:rsid w:val="00E072BB"/>
    <w:rsid w:val="00E073D9"/>
    <w:rsid w:val="00E0772D"/>
    <w:rsid w:val="00E07A7A"/>
    <w:rsid w:val="00E07C05"/>
    <w:rsid w:val="00E07C97"/>
    <w:rsid w:val="00E07F4C"/>
    <w:rsid w:val="00E100DB"/>
    <w:rsid w:val="00E1047E"/>
    <w:rsid w:val="00E10692"/>
    <w:rsid w:val="00E107A5"/>
    <w:rsid w:val="00E10975"/>
    <w:rsid w:val="00E1157E"/>
    <w:rsid w:val="00E1168F"/>
    <w:rsid w:val="00E11C13"/>
    <w:rsid w:val="00E123CD"/>
    <w:rsid w:val="00E126F3"/>
    <w:rsid w:val="00E1279F"/>
    <w:rsid w:val="00E12B6E"/>
    <w:rsid w:val="00E12E18"/>
    <w:rsid w:val="00E132C1"/>
    <w:rsid w:val="00E13316"/>
    <w:rsid w:val="00E133BC"/>
    <w:rsid w:val="00E1353A"/>
    <w:rsid w:val="00E135FB"/>
    <w:rsid w:val="00E137F9"/>
    <w:rsid w:val="00E14B38"/>
    <w:rsid w:val="00E14C69"/>
    <w:rsid w:val="00E14D9D"/>
    <w:rsid w:val="00E150B3"/>
    <w:rsid w:val="00E1525D"/>
    <w:rsid w:val="00E1593B"/>
    <w:rsid w:val="00E15B68"/>
    <w:rsid w:val="00E15E78"/>
    <w:rsid w:val="00E15EB2"/>
    <w:rsid w:val="00E160DF"/>
    <w:rsid w:val="00E164B3"/>
    <w:rsid w:val="00E16A36"/>
    <w:rsid w:val="00E16A8C"/>
    <w:rsid w:val="00E16BE1"/>
    <w:rsid w:val="00E16BE5"/>
    <w:rsid w:val="00E1703A"/>
    <w:rsid w:val="00E172BC"/>
    <w:rsid w:val="00E1746C"/>
    <w:rsid w:val="00E17918"/>
    <w:rsid w:val="00E17AED"/>
    <w:rsid w:val="00E17AEE"/>
    <w:rsid w:val="00E17B2E"/>
    <w:rsid w:val="00E17D14"/>
    <w:rsid w:val="00E17EE5"/>
    <w:rsid w:val="00E20088"/>
    <w:rsid w:val="00E2024B"/>
    <w:rsid w:val="00E2039A"/>
    <w:rsid w:val="00E2059F"/>
    <w:rsid w:val="00E207C8"/>
    <w:rsid w:val="00E2087A"/>
    <w:rsid w:val="00E20905"/>
    <w:rsid w:val="00E20A34"/>
    <w:rsid w:val="00E20F17"/>
    <w:rsid w:val="00E21716"/>
    <w:rsid w:val="00E219AC"/>
    <w:rsid w:val="00E21C83"/>
    <w:rsid w:val="00E21DDF"/>
    <w:rsid w:val="00E21E1F"/>
    <w:rsid w:val="00E22281"/>
    <w:rsid w:val="00E223F0"/>
    <w:rsid w:val="00E224F4"/>
    <w:rsid w:val="00E2298C"/>
    <w:rsid w:val="00E22AB4"/>
    <w:rsid w:val="00E22B95"/>
    <w:rsid w:val="00E22BA7"/>
    <w:rsid w:val="00E22BBF"/>
    <w:rsid w:val="00E22CF4"/>
    <w:rsid w:val="00E22DF5"/>
    <w:rsid w:val="00E22F36"/>
    <w:rsid w:val="00E2347B"/>
    <w:rsid w:val="00E2359B"/>
    <w:rsid w:val="00E235DA"/>
    <w:rsid w:val="00E23837"/>
    <w:rsid w:val="00E23A42"/>
    <w:rsid w:val="00E23CA1"/>
    <w:rsid w:val="00E23E45"/>
    <w:rsid w:val="00E24092"/>
    <w:rsid w:val="00E242CE"/>
    <w:rsid w:val="00E24616"/>
    <w:rsid w:val="00E2475B"/>
    <w:rsid w:val="00E24A97"/>
    <w:rsid w:val="00E24F36"/>
    <w:rsid w:val="00E250CA"/>
    <w:rsid w:val="00E2516D"/>
    <w:rsid w:val="00E253D1"/>
    <w:rsid w:val="00E25560"/>
    <w:rsid w:val="00E25576"/>
    <w:rsid w:val="00E25634"/>
    <w:rsid w:val="00E25639"/>
    <w:rsid w:val="00E257CF"/>
    <w:rsid w:val="00E25BF6"/>
    <w:rsid w:val="00E26063"/>
    <w:rsid w:val="00E26548"/>
    <w:rsid w:val="00E267E0"/>
    <w:rsid w:val="00E26A63"/>
    <w:rsid w:val="00E26E93"/>
    <w:rsid w:val="00E26F9D"/>
    <w:rsid w:val="00E27019"/>
    <w:rsid w:val="00E27317"/>
    <w:rsid w:val="00E27434"/>
    <w:rsid w:val="00E27790"/>
    <w:rsid w:val="00E279E8"/>
    <w:rsid w:val="00E27F80"/>
    <w:rsid w:val="00E3001D"/>
    <w:rsid w:val="00E302D8"/>
    <w:rsid w:val="00E3057C"/>
    <w:rsid w:val="00E30658"/>
    <w:rsid w:val="00E3140F"/>
    <w:rsid w:val="00E3147F"/>
    <w:rsid w:val="00E314B5"/>
    <w:rsid w:val="00E31A9F"/>
    <w:rsid w:val="00E31AC9"/>
    <w:rsid w:val="00E31BAE"/>
    <w:rsid w:val="00E31C68"/>
    <w:rsid w:val="00E321A3"/>
    <w:rsid w:val="00E326B6"/>
    <w:rsid w:val="00E32779"/>
    <w:rsid w:val="00E32C59"/>
    <w:rsid w:val="00E32CD2"/>
    <w:rsid w:val="00E32DE5"/>
    <w:rsid w:val="00E32E77"/>
    <w:rsid w:val="00E32F29"/>
    <w:rsid w:val="00E32F6B"/>
    <w:rsid w:val="00E33127"/>
    <w:rsid w:val="00E33291"/>
    <w:rsid w:val="00E33924"/>
    <w:rsid w:val="00E33AD9"/>
    <w:rsid w:val="00E33BF5"/>
    <w:rsid w:val="00E33F2B"/>
    <w:rsid w:val="00E33F60"/>
    <w:rsid w:val="00E33FE8"/>
    <w:rsid w:val="00E34079"/>
    <w:rsid w:val="00E340A1"/>
    <w:rsid w:val="00E346F9"/>
    <w:rsid w:val="00E34E8F"/>
    <w:rsid w:val="00E34FF3"/>
    <w:rsid w:val="00E35010"/>
    <w:rsid w:val="00E35536"/>
    <w:rsid w:val="00E358CB"/>
    <w:rsid w:val="00E359BA"/>
    <w:rsid w:val="00E35A1A"/>
    <w:rsid w:val="00E36503"/>
    <w:rsid w:val="00E36A00"/>
    <w:rsid w:val="00E36C7D"/>
    <w:rsid w:val="00E373A5"/>
    <w:rsid w:val="00E3767A"/>
    <w:rsid w:val="00E37689"/>
    <w:rsid w:val="00E37963"/>
    <w:rsid w:val="00E37BDB"/>
    <w:rsid w:val="00E37D44"/>
    <w:rsid w:val="00E40115"/>
    <w:rsid w:val="00E4078D"/>
    <w:rsid w:val="00E40891"/>
    <w:rsid w:val="00E40A54"/>
    <w:rsid w:val="00E40F49"/>
    <w:rsid w:val="00E41048"/>
    <w:rsid w:val="00E4105B"/>
    <w:rsid w:val="00E41102"/>
    <w:rsid w:val="00E413F9"/>
    <w:rsid w:val="00E416D4"/>
    <w:rsid w:val="00E416DD"/>
    <w:rsid w:val="00E41955"/>
    <w:rsid w:val="00E41B74"/>
    <w:rsid w:val="00E41CBA"/>
    <w:rsid w:val="00E41CBC"/>
    <w:rsid w:val="00E41E3F"/>
    <w:rsid w:val="00E41F36"/>
    <w:rsid w:val="00E42071"/>
    <w:rsid w:val="00E4216D"/>
    <w:rsid w:val="00E4224A"/>
    <w:rsid w:val="00E4239F"/>
    <w:rsid w:val="00E42441"/>
    <w:rsid w:val="00E42C27"/>
    <w:rsid w:val="00E42D33"/>
    <w:rsid w:val="00E4323D"/>
    <w:rsid w:val="00E4365D"/>
    <w:rsid w:val="00E438A0"/>
    <w:rsid w:val="00E43C17"/>
    <w:rsid w:val="00E440DB"/>
    <w:rsid w:val="00E44611"/>
    <w:rsid w:val="00E447E9"/>
    <w:rsid w:val="00E44E01"/>
    <w:rsid w:val="00E45801"/>
    <w:rsid w:val="00E458D2"/>
    <w:rsid w:val="00E45A2B"/>
    <w:rsid w:val="00E45C0A"/>
    <w:rsid w:val="00E45DC9"/>
    <w:rsid w:val="00E45E34"/>
    <w:rsid w:val="00E45E4A"/>
    <w:rsid w:val="00E45F81"/>
    <w:rsid w:val="00E46027"/>
    <w:rsid w:val="00E46232"/>
    <w:rsid w:val="00E46551"/>
    <w:rsid w:val="00E46C5F"/>
    <w:rsid w:val="00E46DA7"/>
    <w:rsid w:val="00E46F6E"/>
    <w:rsid w:val="00E47103"/>
    <w:rsid w:val="00E472A7"/>
    <w:rsid w:val="00E47523"/>
    <w:rsid w:val="00E476BA"/>
    <w:rsid w:val="00E478D3"/>
    <w:rsid w:val="00E47F12"/>
    <w:rsid w:val="00E501BB"/>
    <w:rsid w:val="00E5079B"/>
    <w:rsid w:val="00E508AD"/>
    <w:rsid w:val="00E509D6"/>
    <w:rsid w:val="00E50CAD"/>
    <w:rsid w:val="00E50F0E"/>
    <w:rsid w:val="00E50FA3"/>
    <w:rsid w:val="00E5115C"/>
    <w:rsid w:val="00E5145D"/>
    <w:rsid w:val="00E515E8"/>
    <w:rsid w:val="00E51E3A"/>
    <w:rsid w:val="00E51E88"/>
    <w:rsid w:val="00E51FC7"/>
    <w:rsid w:val="00E52283"/>
    <w:rsid w:val="00E52371"/>
    <w:rsid w:val="00E52416"/>
    <w:rsid w:val="00E5241D"/>
    <w:rsid w:val="00E52B65"/>
    <w:rsid w:val="00E533B5"/>
    <w:rsid w:val="00E533F1"/>
    <w:rsid w:val="00E53632"/>
    <w:rsid w:val="00E5367E"/>
    <w:rsid w:val="00E536CA"/>
    <w:rsid w:val="00E5376D"/>
    <w:rsid w:val="00E537B3"/>
    <w:rsid w:val="00E53BA4"/>
    <w:rsid w:val="00E53D1D"/>
    <w:rsid w:val="00E53D70"/>
    <w:rsid w:val="00E53F73"/>
    <w:rsid w:val="00E53FB0"/>
    <w:rsid w:val="00E54228"/>
    <w:rsid w:val="00E5433F"/>
    <w:rsid w:val="00E54790"/>
    <w:rsid w:val="00E554EE"/>
    <w:rsid w:val="00E55999"/>
    <w:rsid w:val="00E559C2"/>
    <w:rsid w:val="00E559EC"/>
    <w:rsid w:val="00E55BE9"/>
    <w:rsid w:val="00E55CCA"/>
    <w:rsid w:val="00E55FB4"/>
    <w:rsid w:val="00E55FEA"/>
    <w:rsid w:val="00E5613A"/>
    <w:rsid w:val="00E564A8"/>
    <w:rsid w:val="00E564C1"/>
    <w:rsid w:val="00E56708"/>
    <w:rsid w:val="00E56890"/>
    <w:rsid w:val="00E56B34"/>
    <w:rsid w:val="00E56B83"/>
    <w:rsid w:val="00E56D84"/>
    <w:rsid w:val="00E57030"/>
    <w:rsid w:val="00E57167"/>
    <w:rsid w:val="00E573EB"/>
    <w:rsid w:val="00E5747F"/>
    <w:rsid w:val="00E57540"/>
    <w:rsid w:val="00E57697"/>
    <w:rsid w:val="00E578C6"/>
    <w:rsid w:val="00E57A5F"/>
    <w:rsid w:val="00E57ABD"/>
    <w:rsid w:val="00E57C2C"/>
    <w:rsid w:val="00E57CB8"/>
    <w:rsid w:val="00E60248"/>
    <w:rsid w:val="00E60740"/>
    <w:rsid w:val="00E60C1B"/>
    <w:rsid w:val="00E60C47"/>
    <w:rsid w:val="00E60CD5"/>
    <w:rsid w:val="00E6118A"/>
    <w:rsid w:val="00E61430"/>
    <w:rsid w:val="00E61451"/>
    <w:rsid w:val="00E616C0"/>
    <w:rsid w:val="00E617A2"/>
    <w:rsid w:val="00E61928"/>
    <w:rsid w:val="00E61A12"/>
    <w:rsid w:val="00E61D0D"/>
    <w:rsid w:val="00E622C5"/>
    <w:rsid w:val="00E622E7"/>
    <w:rsid w:val="00E6241D"/>
    <w:rsid w:val="00E62629"/>
    <w:rsid w:val="00E62BF9"/>
    <w:rsid w:val="00E62CF1"/>
    <w:rsid w:val="00E62F98"/>
    <w:rsid w:val="00E62FE0"/>
    <w:rsid w:val="00E63041"/>
    <w:rsid w:val="00E63C70"/>
    <w:rsid w:val="00E63D13"/>
    <w:rsid w:val="00E63EEF"/>
    <w:rsid w:val="00E647C1"/>
    <w:rsid w:val="00E6480B"/>
    <w:rsid w:val="00E649D3"/>
    <w:rsid w:val="00E64B41"/>
    <w:rsid w:val="00E64BF8"/>
    <w:rsid w:val="00E650A9"/>
    <w:rsid w:val="00E6515D"/>
    <w:rsid w:val="00E651C3"/>
    <w:rsid w:val="00E65379"/>
    <w:rsid w:val="00E65569"/>
    <w:rsid w:val="00E65669"/>
    <w:rsid w:val="00E65892"/>
    <w:rsid w:val="00E6596C"/>
    <w:rsid w:val="00E659AA"/>
    <w:rsid w:val="00E659B1"/>
    <w:rsid w:val="00E65C30"/>
    <w:rsid w:val="00E660F1"/>
    <w:rsid w:val="00E66126"/>
    <w:rsid w:val="00E661C6"/>
    <w:rsid w:val="00E663B6"/>
    <w:rsid w:val="00E664C8"/>
    <w:rsid w:val="00E66563"/>
    <w:rsid w:val="00E66A7E"/>
    <w:rsid w:val="00E66D6A"/>
    <w:rsid w:val="00E66F1F"/>
    <w:rsid w:val="00E671A9"/>
    <w:rsid w:val="00E6726C"/>
    <w:rsid w:val="00E67344"/>
    <w:rsid w:val="00E674B8"/>
    <w:rsid w:val="00E67544"/>
    <w:rsid w:val="00E679DC"/>
    <w:rsid w:val="00E67B52"/>
    <w:rsid w:val="00E67F59"/>
    <w:rsid w:val="00E70080"/>
    <w:rsid w:val="00E70677"/>
    <w:rsid w:val="00E708F5"/>
    <w:rsid w:val="00E70EB4"/>
    <w:rsid w:val="00E70ED7"/>
    <w:rsid w:val="00E70FBD"/>
    <w:rsid w:val="00E70FFD"/>
    <w:rsid w:val="00E71321"/>
    <w:rsid w:val="00E71644"/>
    <w:rsid w:val="00E71854"/>
    <w:rsid w:val="00E71BCC"/>
    <w:rsid w:val="00E72055"/>
    <w:rsid w:val="00E72132"/>
    <w:rsid w:val="00E728B0"/>
    <w:rsid w:val="00E72930"/>
    <w:rsid w:val="00E72E0D"/>
    <w:rsid w:val="00E7300F"/>
    <w:rsid w:val="00E730D2"/>
    <w:rsid w:val="00E734AA"/>
    <w:rsid w:val="00E737B3"/>
    <w:rsid w:val="00E737D1"/>
    <w:rsid w:val="00E739A3"/>
    <w:rsid w:val="00E73A2E"/>
    <w:rsid w:val="00E73CBA"/>
    <w:rsid w:val="00E73E98"/>
    <w:rsid w:val="00E73F62"/>
    <w:rsid w:val="00E74613"/>
    <w:rsid w:val="00E748E2"/>
    <w:rsid w:val="00E74952"/>
    <w:rsid w:val="00E74A5B"/>
    <w:rsid w:val="00E74B08"/>
    <w:rsid w:val="00E74C4B"/>
    <w:rsid w:val="00E74C99"/>
    <w:rsid w:val="00E74D76"/>
    <w:rsid w:val="00E74F2C"/>
    <w:rsid w:val="00E74F3A"/>
    <w:rsid w:val="00E75135"/>
    <w:rsid w:val="00E75213"/>
    <w:rsid w:val="00E754EF"/>
    <w:rsid w:val="00E75790"/>
    <w:rsid w:val="00E75897"/>
    <w:rsid w:val="00E75A87"/>
    <w:rsid w:val="00E75B36"/>
    <w:rsid w:val="00E75B9A"/>
    <w:rsid w:val="00E75C52"/>
    <w:rsid w:val="00E75DB0"/>
    <w:rsid w:val="00E75E6F"/>
    <w:rsid w:val="00E75F6D"/>
    <w:rsid w:val="00E7613F"/>
    <w:rsid w:val="00E76192"/>
    <w:rsid w:val="00E7642A"/>
    <w:rsid w:val="00E76464"/>
    <w:rsid w:val="00E7655F"/>
    <w:rsid w:val="00E76597"/>
    <w:rsid w:val="00E7676E"/>
    <w:rsid w:val="00E767D2"/>
    <w:rsid w:val="00E76932"/>
    <w:rsid w:val="00E76B4E"/>
    <w:rsid w:val="00E772CC"/>
    <w:rsid w:val="00E774D9"/>
    <w:rsid w:val="00E775A4"/>
    <w:rsid w:val="00E7765E"/>
    <w:rsid w:val="00E776EA"/>
    <w:rsid w:val="00E776F2"/>
    <w:rsid w:val="00E77876"/>
    <w:rsid w:val="00E77EF8"/>
    <w:rsid w:val="00E80454"/>
    <w:rsid w:val="00E80811"/>
    <w:rsid w:val="00E808D1"/>
    <w:rsid w:val="00E80972"/>
    <w:rsid w:val="00E80FEF"/>
    <w:rsid w:val="00E819C8"/>
    <w:rsid w:val="00E81A17"/>
    <w:rsid w:val="00E81F7E"/>
    <w:rsid w:val="00E82119"/>
    <w:rsid w:val="00E8212D"/>
    <w:rsid w:val="00E82250"/>
    <w:rsid w:val="00E82663"/>
    <w:rsid w:val="00E82734"/>
    <w:rsid w:val="00E829EF"/>
    <w:rsid w:val="00E82F83"/>
    <w:rsid w:val="00E8323A"/>
    <w:rsid w:val="00E83440"/>
    <w:rsid w:val="00E8365A"/>
    <w:rsid w:val="00E83670"/>
    <w:rsid w:val="00E83A94"/>
    <w:rsid w:val="00E83F50"/>
    <w:rsid w:val="00E8412D"/>
    <w:rsid w:val="00E84636"/>
    <w:rsid w:val="00E84A05"/>
    <w:rsid w:val="00E84ADA"/>
    <w:rsid w:val="00E84D14"/>
    <w:rsid w:val="00E84DF4"/>
    <w:rsid w:val="00E8593E"/>
    <w:rsid w:val="00E85A81"/>
    <w:rsid w:val="00E85B4F"/>
    <w:rsid w:val="00E85B85"/>
    <w:rsid w:val="00E85F38"/>
    <w:rsid w:val="00E85F5C"/>
    <w:rsid w:val="00E861E5"/>
    <w:rsid w:val="00E8658D"/>
    <w:rsid w:val="00E8667C"/>
    <w:rsid w:val="00E86A06"/>
    <w:rsid w:val="00E86C64"/>
    <w:rsid w:val="00E86C6F"/>
    <w:rsid w:val="00E86CDE"/>
    <w:rsid w:val="00E8706F"/>
    <w:rsid w:val="00E8709A"/>
    <w:rsid w:val="00E87100"/>
    <w:rsid w:val="00E87319"/>
    <w:rsid w:val="00E8791A"/>
    <w:rsid w:val="00E879E3"/>
    <w:rsid w:val="00E879F8"/>
    <w:rsid w:val="00E87A9A"/>
    <w:rsid w:val="00E87D93"/>
    <w:rsid w:val="00E902B6"/>
    <w:rsid w:val="00E9035D"/>
    <w:rsid w:val="00E9042F"/>
    <w:rsid w:val="00E907C2"/>
    <w:rsid w:val="00E9086C"/>
    <w:rsid w:val="00E90AB0"/>
    <w:rsid w:val="00E90B90"/>
    <w:rsid w:val="00E90DFC"/>
    <w:rsid w:val="00E90FA5"/>
    <w:rsid w:val="00E91098"/>
    <w:rsid w:val="00E9163A"/>
    <w:rsid w:val="00E91BC5"/>
    <w:rsid w:val="00E91CD1"/>
    <w:rsid w:val="00E924D0"/>
    <w:rsid w:val="00E92BE0"/>
    <w:rsid w:val="00E92C7F"/>
    <w:rsid w:val="00E92DF2"/>
    <w:rsid w:val="00E9347E"/>
    <w:rsid w:val="00E935F1"/>
    <w:rsid w:val="00E93604"/>
    <w:rsid w:val="00E93703"/>
    <w:rsid w:val="00E93A00"/>
    <w:rsid w:val="00E93A48"/>
    <w:rsid w:val="00E93BDF"/>
    <w:rsid w:val="00E93F8A"/>
    <w:rsid w:val="00E940C1"/>
    <w:rsid w:val="00E941F9"/>
    <w:rsid w:val="00E94222"/>
    <w:rsid w:val="00E945BE"/>
    <w:rsid w:val="00E947FC"/>
    <w:rsid w:val="00E948A9"/>
    <w:rsid w:val="00E94B24"/>
    <w:rsid w:val="00E94B78"/>
    <w:rsid w:val="00E94CCC"/>
    <w:rsid w:val="00E94F46"/>
    <w:rsid w:val="00E9528F"/>
    <w:rsid w:val="00E954BD"/>
    <w:rsid w:val="00E95897"/>
    <w:rsid w:val="00E95941"/>
    <w:rsid w:val="00E95970"/>
    <w:rsid w:val="00E9623A"/>
    <w:rsid w:val="00E96533"/>
    <w:rsid w:val="00E9655D"/>
    <w:rsid w:val="00E96635"/>
    <w:rsid w:val="00E9671B"/>
    <w:rsid w:val="00E96761"/>
    <w:rsid w:val="00E9691C"/>
    <w:rsid w:val="00E96A46"/>
    <w:rsid w:val="00E96B29"/>
    <w:rsid w:val="00E96C78"/>
    <w:rsid w:val="00E96D52"/>
    <w:rsid w:val="00E96E51"/>
    <w:rsid w:val="00E96F45"/>
    <w:rsid w:val="00E97004"/>
    <w:rsid w:val="00E970C7"/>
    <w:rsid w:val="00E971F3"/>
    <w:rsid w:val="00E9722E"/>
    <w:rsid w:val="00E97335"/>
    <w:rsid w:val="00E97BCD"/>
    <w:rsid w:val="00E97CD4"/>
    <w:rsid w:val="00E97EB0"/>
    <w:rsid w:val="00E97EE0"/>
    <w:rsid w:val="00EA01F2"/>
    <w:rsid w:val="00EA0412"/>
    <w:rsid w:val="00EA046C"/>
    <w:rsid w:val="00EA052C"/>
    <w:rsid w:val="00EA06FA"/>
    <w:rsid w:val="00EA075F"/>
    <w:rsid w:val="00EA0851"/>
    <w:rsid w:val="00EA089A"/>
    <w:rsid w:val="00EA08B0"/>
    <w:rsid w:val="00EA0C0A"/>
    <w:rsid w:val="00EA0FE5"/>
    <w:rsid w:val="00EA118B"/>
    <w:rsid w:val="00EA18B2"/>
    <w:rsid w:val="00EA19F1"/>
    <w:rsid w:val="00EA1C84"/>
    <w:rsid w:val="00EA1DF5"/>
    <w:rsid w:val="00EA1E33"/>
    <w:rsid w:val="00EA212F"/>
    <w:rsid w:val="00EA21FA"/>
    <w:rsid w:val="00EA2786"/>
    <w:rsid w:val="00EA2842"/>
    <w:rsid w:val="00EA2B44"/>
    <w:rsid w:val="00EA2BC6"/>
    <w:rsid w:val="00EA2C3D"/>
    <w:rsid w:val="00EA2C5A"/>
    <w:rsid w:val="00EA2D8E"/>
    <w:rsid w:val="00EA2DFD"/>
    <w:rsid w:val="00EA3027"/>
    <w:rsid w:val="00EA364C"/>
    <w:rsid w:val="00EA36FB"/>
    <w:rsid w:val="00EA3C45"/>
    <w:rsid w:val="00EA427D"/>
    <w:rsid w:val="00EA4355"/>
    <w:rsid w:val="00EA44D3"/>
    <w:rsid w:val="00EA497F"/>
    <w:rsid w:val="00EA4B1B"/>
    <w:rsid w:val="00EA4C94"/>
    <w:rsid w:val="00EA4CD0"/>
    <w:rsid w:val="00EA4F7F"/>
    <w:rsid w:val="00EA5379"/>
    <w:rsid w:val="00EA5831"/>
    <w:rsid w:val="00EA5F08"/>
    <w:rsid w:val="00EA6311"/>
    <w:rsid w:val="00EA640A"/>
    <w:rsid w:val="00EA66FA"/>
    <w:rsid w:val="00EA6939"/>
    <w:rsid w:val="00EA695D"/>
    <w:rsid w:val="00EA6EAD"/>
    <w:rsid w:val="00EA6FB1"/>
    <w:rsid w:val="00EA6FC8"/>
    <w:rsid w:val="00EA73CA"/>
    <w:rsid w:val="00EA74F0"/>
    <w:rsid w:val="00EA7588"/>
    <w:rsid w:val="00EA7B33"/>
    <w:rsid w:val="00EA7C27"/>
    <w:rsid w:val="00EA7C92"/>
    <w:rsid w:val="00EA7DA0"/>
    <w:rsid w:val="00EB00F4"/>
    <w:rsid w:val="00EB0284"/>
    <w:rsid w:val="00EB0756"/>
    <w:rsid w:val="00EB0915"/>
    <w:rsid w:val="00EB0A08"/>
    <w:rsid w:val="00EB0E3C"/>
    <w:rsid w:val="00EB119F"/>
    <w:rsid w:val="00EB1204"/>
    <w:rsid w:val="00EB1A81"/>
    <w:rsid w:val="00EB1CB1"/>
    <w:rsid w:val="00EB1DD6"/>
    <w:rsid w:val="00EB1E4C"/>
    <w:rsid w:val="00EB20D5"/>
    <w:rsid w:val="00EB23DF"/>
    <w:rsid w:val="00EB253B"/>
    <w:rsid w:val="00EB2D82"/>
    <w:rsid w:val="00EB2E1F"/>
    <w:rsid w:val="00EB2EA2"/>
    <w:rsid w:val="00EB2F56"/>
    <w:rsid w:val="00EB2FD6"/>
    <w:rsid w:val="00EB3084"/>
    <w:rsid w:val="00EB314A"/>
    <w:rsid w:val="00EB35D6"/>
    <w:rsid w:val="00EB3733"/>
    <w:rsid w:val="00EB388F"/>
    <w:rsid w:val="00EB38B6"/>
    <w:rsid w:val="00EB3952"/>
    <w:rsid w:val="00EB3DD5"/>
    <w:rsid w:val="00EB3EE1"/>
    <w:rsid w:val="00EB4143"/>
    <w:rsid w:val="00EB4347"/>
    <w:rsid w:val="00EB44DB"/>
    <w:rsid w:val="00EB4740"/>
    <w:rsid w:val="00EB47A9"/>
    <w:rsid w:val="00EB4917"/>
    <w:rsid w:val="00EB4C41"/>
    <w:rsid w:val="00EB4CC8"/>
    <w:rsid w:val="00EB4D0A"/>
    <w:rsid w:val="00EB4D14"/>
    <w:rsid w:val="00EB4D5E"/>
    <w:rsid w:val="00EB4DCE"/>
    <w:rsid w:val="00EB4DE3"/>
    <w:rsid w:val="00EB522D"/>
    <w:rsid w:val="00EB54F9"/>
    <w:rsid w:val="00EB55BC"/>
    <w:rsid w:val="00EB57D6"/>
    <w:rsid w:val="00EB5812"/>
    <w:rsid w:val="00EB5D97"/>
    <w:rsid w:val="00EB5F78"/>
    <w:rsid w:val="00EB626A"/>
    <w:rsid w:val="00EB63B0"/>
    <w:rsid w:val="00EB65AC"/>
    <w:rsid w:val="00EB68C7"/>
    <w:rsid w:val="00EB6996"/>
    <w:rsid w:val="00EB6D51"/>
    <w:rsid w:val="00EB6D6D"/>
    <w:rsid w:val="00EB6E9D"/>
    <w:rsid w:val="00EB7036"/>
    <w:rsid w:val="00EB716B"/>
    <w:rsid w:val="00EB71C3"/>
    <w:rsid w:val="00EB73ED"/>
    <w:rsid w:val="00EB7472"/>
    <w:rsid w:val="00EB787B"/>
    <w:rsid w:val="00EB78AA"/>
    <w:rsid w:val="00EB7D88"/>
    <w:rsid w:val="00EC0103"/>
    <w:rsid w:val="00EC032B"/>
    <w:rsid w:val="00EC12E9"/>
    <w:rsid w:val="00EC1315"/>
    <w:rsid w:val="00EC1B80"/>
    <w:rsid w:val="00EC1DBF"/>
    <w:rsid w:val="00EC2016"/>
    <w:rsid w:val="00EC21FE"/>
    <w:rsid w:val="00EC2345"/>
    <w:rsid w:val="00EC26DC"/>
    <w:rsid w:val="00EC2725"/>
    <w:rsid w:val="00EC29F1"/>
    <w:rsid w:val="00EC2AA0"/>
    <w:rsid w:val="00EC2D72"/>
    <w:rsid w:val="00EC30D2"/>
    <w:rsid w:val="00EC3625"/>
    <w:rsid w:val="00EC39E3"/>
    <w:rsid w:val="00EC3C01"/>
    <w:rsid w:val="00EC3C4A"/>
    <w:rsid w:val="00EC3DA6"/>
    <w:rsid w:val="00EC3F18"/>
    <w:rsid w:val="00EC3F76"/>
    <w:rsid w:val="00EC4052"/>
    <w:rsid w:val="00EC41F5"/>
    <w:rsid w:val="00EC44B4"/>
    <w:rsid w:val="00EC4736"/>
    <w:rsid w:val="00EC481A"/>
    <w:rsid w:val="00EC4AD9"/>
    <w:rsid w:val="00EC4CC5"/>
    <w:rsid w:val="00EC4CCC"/>
    <w:rsid w:val="00EC536D"/>
    <w:rsid w:val="00EC567E"/>
    <w:rsid w:val="00EC569B"/>
    <w:rsid w:val="00EC5E0A"/>
    <w:rsid w:val="00EC603E"/>
    <w:rsid w:val="00EC62D6"/>
    <w:rsid w:val="00EC6320"/>
    <w:rsid w:val="00EC67F1"/>
    <w:rsid w:val="00EC6847"/>
    <w:rsid w:val="00EC6ADC"/>
    <w:rsid w:val="00EC6E68"/>
    <w:rsid w:val="00EC6F8C"/>
    <w:rsid w:val="00EC795C"/>
    <w:rsid w:val="00EC79A6"/>
    <w:rsid w:val="00EC7E09"/>
    <w:rsid w:val="00EC7EBF"/>
    <w:rsid w:val="00ED001E"/>
    <w:rsid w:val="00ED00A5"/>
    <w:rsid w:val="00ED016C"/>
    <w:rsid w:val="00ED01DC"/>
    <w:rsid w:val="00ED0251"/>
    <w:rsid w:val="00ED0292"/>
    <w:rsid w:val="00ED03E8"/>
    <w:rsid w:val="00ED04FC"/>
    <w:rsid w:val="00ED0509"/>
    <w:rsid w:val="00ED072D"/>
    <w:rsid w:val="00ED09DA"/>
    <w:rsid w:val="00ED0A32"/>
    <w:rsid w:val="00ED0E3B"/>
    <w:rsid w:val="00ED10D9"/>
    <w:rsid w:val="00ED1255"/>
    <w:rsid w:val="00ED12B3"/>
    <w:rsid w:val="00ED138C"/>
    <w:rsid w:val="00ED165A"/>
    <w:rsid w:val="00ED17F1"/>
    <w:rsid w:val="00ED197D"/>
    <w:rsid w:val="00ED1A22"/>
    <w:rsid w:val="00ED1A93"/>
    <w:rsid w:val="00ED1BD5"/>
    <w:rsid w:val="00ED1E1E"/>
    <w:rsid w:val="00ED1F45"/>
    <w:rsid w:val="00ED24CE"/>
    <w:rsid w:val="00ED283E"/>
    <w:rsid w:val="00ED2929"/>
    <w:rsid w:val="00ED2C68"/>
    <w:rsid w:val="00ED2D5B"/>
    <w:rsid w:val="00ED2EE3"/>
    <w:rsid w:val="00ED313A"/>
    <w:rsid w:val="00ED36BE"/>
    <w:rsid w:val="00ED3843"/>
    <w:rsid w:val="00ED3A6E"/>
    <w:rsid w:val="00ED3C1F"/>
    <w:rsid w:val="00ED3D89"/>
    <w:rsid w:val="00ED3F3A"/>
    <w:rsid w:val="00ED3FB0"/>
    <w:rsid w:val="00ED403C"/>
    <w:rsid w:val="00ED45F0"/>
    <w:rsid w:val="00ED4723"/>
    <w:rsid w:val="00ED4DA5"/>
    <w:rsid w:val="00ED4DC5"/>
    <w:rsid w:val="00ED4EC1"/>
    <w:rsid w:val="00ED513E"/>
    <w:rsid w:val="00ED5683"/>
    <w:rsid w:val="00ED56AA"/>
    <w:rsid w:val="00ED57BC"/>
    <w:rsid w:val="00ED57C7"/>
    <w:rsid w:val="00ED5CAC"/>
    <w:rsid w:val="00ED61A9"/>
    <w:rsid w:val="00ED6231"/>
    <w:rsid w:val="00ED660D"/>
    <w:rsid w:val="00ED67CB"/>
    <w:rsid w:val="00ED6B13"/>
    <w:rsid w:val="00ED6B6B"/>
    <w:rsid w:val="00ED6C55"/>
    <w:rsid w:val="00ED6CBE"/>
    <w:rsid w:val="00ED72BF"/>
    <w:rsid w:val="00ED7596"/>
    <w:rsid w:val="00ED75AD"/>
    <w:rsid w:val="00ED7D1D"/>
    <w:rsid w:val="00ED7DC2"/>
    <w:rsid w:val="00EE07B0"/>
    <w:rsid w:val="00EE0B80"/>
    <w:rsid w:val="00EE0CA6"/>
    <w:rsid w:val="00EE1715"/>
    <w:rsid w:val="00EE1A4B"/>
    <w:rsid w:val="00EE1B20"/>
    <w:rsid w:val="00EE1D03"/>
    <w:rsid w:val="00EE1E7F"/>
    <w:rsid w:val="00EE20D1"/>
    <w:rsid w:val="00EE236A"/>
    <w:rsid w:val="00EE24A4"/>
    <w:rsid w:val="00EE27C1"/>
    <w:rsid w:val="00EE2A09"/>
    <w:rsid w:val="00EE2D3A"/>
    <w:rsid w:val="00EE2D61"/>
    <w:rsid w:val="00EE2D6F"/>
    <w:rsid w:val="00EE2F8F"/>
    <w:rsid w:val="00EE303B"/>
    <w:rsid w:val="00EE3120"/>
    <w:rsid w:val="00EE32C2"/>
    <w:rsid w:val="00EE39BA"/>
    <w:rsid w:val="00EE3B06"/>
    <w:rsid w:val="00EE3E3E"/>
    <w:rsid w:val="00EE4404"/>
    <w:rsid w:val="00EE4501"/>
    <w:rsid w:val="00EE4719"/>
    <w:rsid w:val="00EE4A94"/>
    <w:rsid w:val="00EE4FF1"/>
    <w:rsid w:val="00EE54F0"/>
    <w:rsid w:val="00EE56E1"/>
    <w:rsid w:val="00EE5881"/>
    <w:rsid w:val="00EE5B4E"/>
    <w:rsid w:val="00EE5CFE"/>
    <w:rsid w:val="00EE5DBC"/>
    <w:rsid w:val="00EE5FEA"/>
    <w:rsid w:val="00EE63F9"/>
    <w:rsid w:val="00EE666D"/>
    <w:rsid w:val="00EE66AE"/>
    <w:rsid w:val="00EE728F"/>
    <w:rsid w:val="00EE7414"/>
    <w:rsid w:val="00EE74E7"/>
    <w:rsid w:val="00EE7680"/>
    <w:rsid w:val="00EE784C"/>
    <w:rsid w:val="00EE7924"/>
    <w:rsid w:val="00EE7A78"/>
    <w:rsid w:val="00EE7B40"/>
    <w:rsid w:val="00EE7D0B"/>
    <w:rsid w:val="00EE7D23"/>
    <w:rsid w:val="00EF0064"/>
    <w:rsid w:val="00EF00BB"/>
    <w:rsid w:val="00EF020A"/>
    <w:rsid w:val="00EF0378"/>
    <w:rsid w:val="00EF0B56"/>
    <w:rsid w:val="00EF0D6B"/>
    <w:rsid w:val="00EF0DEC"/>
    <w:rsid w:val="00EF0EA0"/>
    <w:rsid w:val="00EF148C"/>
    <w:rsid w:val="00EF1923"/>
    <w:rsid w:val="00EF1969"/>
    <w:rsid w:val="00EF1B70"/>
    <w:rsid w:val="00EF1D3A"/>
    <w:rsid w:val="00EF1E7F"/>
    <w:rsid w:val="00EF1FB6"/>
    <w:rsid w:val="00EF225A"/>
    <w:rsid w:val="00EF2916"/>
    <w:rsid w:val="00EF2949"/>
    <w:rsid w:val="00EF29DD"/>
    <w:rsid w:val="00EF2A92"/>
    <w:rsid w:val="00EF37DF"/>
    <w:rsid w:val="00EF3DC5"/>
    <w:rsid w:val="00EF43DE"/>
    <w:rsid w:val="00EF450E"/>
    <w:rsid w:val="00EF4580"/>
    <w:rsid w:val="00EF4A4C"/>
    <w:rsid w:val="00EF4AB9"/>
    <w:rsid w:val="00EF4BA9"/>
    <w:rsid w:val="00EF4BBF"/>
    <w:rsid w:val="00EF4BF7"/>
    <w:rsid w:val="00EF4CA1"/>
    <w:rsid w:val="00EF4D53"/>
    <w:rsid w:val="00EF4DDC"/>
    <w:rsid w:val="00EF4E9A"/>
    <w:rsid w:val="00EF52D0"/>
    <w:rsid w:val="00EF549A"/>
    <w:rsid w:val="00EF54BF"/>
    <w:rsid w:val="00EF5533"/>
    <w:rsid w:val="00EF555E"/>
    <w:rsid w:val="00EF5740"/>
    <w:rsid w:val="00EF57F8"/>
    <w:rsid w:val="00EF5B0B"/>
    <w:rsid w:val="00EF5C47"/>
    <w:rsid w:val="00EF5F4D"/>
    <w:rsid w:val="00EF5F9F"/>
    <w:rsid w:val="00EF5FB5"/>
    <w:rsid w:val="00EF62A5"/>
    <w:rsid w:val="00EF6A3F"/>
    <w:rsid w:val="00EF6AD7"/>
    <w:rsid w:val="00EF6F18"/>
    <w:rsid w:val="00EF753D"/>
    <w:rsid w:val="00EF7779"/>
    <w:rsid w:val="00F0010D"/>
    <w:rsid w:val="00F0042D"/>
    <w:rsid w:val="00F00742"/>
    <w:rsid w:val="00F008BC"/>
    <w:rsid w:val="00F00CF6"/>
    <w:rsid w:val="00F0113D"/>
    <w:rsid w:val="00F01273"/>
    <w:rsid w:val="00F01410"/>
    <w:rsid w:val="00F01497"/>
    <w:rsid w:val="00F01C57"/>
    <w:rsid w:val="00F02794"/>
    <w:rsid w:val="00F02878"/>
    <w:rsid w:val="00F0294B"/>
    <w:rsid w:val="00F0299B"/>
    <w:rsid w:val="00F029A8"/>
    <w:rsid w:val="00F02E0D"/>
    <w:rsid w:val="00F02EB3"/>
    <w:rsid w:val="00F030CE"/>
    <w:rsid w:val="00F034E8"/>
    <w:rsid w:val="00F03924"/>
    <w:rsid w:val="00F03D3E"/>
    <w:rsid w:val="00F04067"/>
    <w:rsid w:val="00F040C8"/>
    <w:rsid w:val="00F04AD2"/>
    <w:rsid w:val="00F04BB0"/>
    <w:rsid w:val="00F04F5F"/>
    <w:rsid w:val="00F05210"/>
    <w:rsid w:val="00F05270"/>
    <w:rsid w:val="00F0536E"/>
    <w:rsid w:val="00F05536"/>
    <w:rsid w:val="00F05939"/>
    <w:rsid w:val="00F05979"/>
    <w:rsid w:val="00F05C5C"/>
    <w:rsid w:val="00F0613F"/>
    <w:rsid w:val="00F06168"/>
    <w:rsid w:val="00F063C0"/>
    <w:rsid w:val="00F06615"/>
    <w:rsid w:val="00F06CE4"/>
    <w:rsid w:val="00F07159"/>
    <w:rsid w:val="00F0755A"/>
    <w:rsid w:val="00F0782E"/>
    <w:rsid w:val="00F0788E"/>
    <w:rsid w:val="00F07C47"/>
    <w:rsid w:val="00F10160"/>
    <w:rsid w:val="00F1034E"/>
    <w:rsid w:val="00F104B5"/>
    <w:rsid w:val="00F10835"/>
    <w:rsid w:val="00F10966"/>
    <w:rsid w:val="00F10A50"/>
    <w:rsid w:val="00F10CD7"/>
    <w:rsid w:val="00F10CEB"/>
    <w:rsid w:val="00F115F5"/>
    <w:rsid w:val="00F1167D"/>
    <w:rsid w:val="00F116E4"/>
    <w:rsid w:val="00F11B4C"/>
    <w:rsid w:val="00F11DA7"/>
    <w:rsid w:val="00F11F06"/>
    <w:rsid w:val="00F11F38"/>
    <w:rsid w:val="00F11FEE"/>
    <w:rsid w:val="00F123F5"/>
    <w:rsid w:val="00F126CC"/>
    <w:rsid w:val="00F12F7F"/>
    <w:rsid w:val="00F13359"/>
    <w:rsid w:val="00F133DE"/>
    <w:rsid w:val="00F13409"/>
    <w:rsid w:val="00F13A83"/>
    <w:rsid w:val="00F13DA9"/>
    <w:rsid w:val="00F13DD8"/>
    <w:rsid w:val="00F147C7"/>
    <w:rsid w:val="00F14807"/>
    <w:rsid w:val="00F14923"/>
    <w:rsid w:val="00F1493F"/>
    <w:rsid w:val="00F14A15"/>
    <w:rsid w:val="00F14C0B"/>
    <w:rsid w:val="00F14E3B"/>
    <w:rsid w:val="00F15518"/>
    <w:rsid w:val="00F15849"/>
    <w:rsid w:val="00F159F0"/>
    <w:rsid w:val="00F15B88"/>
    <w:rsid w:val="00F15DF2"/>
    <w:rsid w:val="00F162D5"/>
    <w:rsid w:val="00F16352"/>
    <w:rsid w:val="00F1643F"/>
    <w:rsid w:val="00F16532"/>
    <w:rsid w:val="00F16907"/>
    <w:rsid w:val="00F16BA8"/>
    <w:rsid w:val="00F16D5B"/>
    <w:rsid w:val="00F16E5D"/>
    <w:rsid w:val="00F1717D"/>
    <w:rsid w:val="00F17716"/>
    <w:rsid w:val="00F17822"/>
    <w:rsid w:val="00F178DD"/>
    <w:rsid w:val="00F17FFE"/>
    <w:rsid w:val="00F20316"/>
    <w:rsid w:val="00F2046B"/>
    <w:rsid w:val="00F20862"/>
    <w:rsid w:val="00F20F51"/>
    <w:rsid w:val="00F21411"/>
    <w:rsid w:val="00F2178E"/>
    <w:rsid w:val="00F21CE8"/>
    <w:rsid w:val="00F21DC3"/>
    <w:rsid w:val="00F21E03"/>
    <w:rsid w:val="00F22265"/>
    <w:rsid w:val="00F22319"/>
    <w:rsid w:val="00F22524"/>
    <w:rsid w:val="00F22A40"/>
    <w:rsid w:val="00F22BD7"/>
    <w:rsid w:val="00F22C1E"/>
    <w:rsid w:val="00F22C48"/>
    <w:rsid w:val="00F22CAC"/>
    <w:rsid w:val="00F22F80"/>
    <w:rsid w:val="00F2302A"/>
    <w:rsid w:val="00F23288"/>
    <w:rsid w:val="00F2331B"/>
    <w:rsid w:val="00F234AB"/>
    <w:rsid w:val="00F234DA"/>
    <w:rsid w:val="00F23A5D"/>
    <w:rsid w:val="00F24586"/>
    <w:rsid w:val="00F245EC"/>
    <w:rsid w:val="00F2470F"/>
    <w:rsid w:val="00F24832"/>
    <w:rsid w:val="00F2483B"/>
    <w:rsid w:val="00F24DF4"/>
    <w:rsid w:val="00F24E3A"/>
    <w:rsid w:val="00F24EB3"/>
    <w:rsid w:val="00F2523C"/>
    <w:rsid w:val="00F25278"/>
    <w:rsid w:val="00F253B2"/>
    <w:rsid w:val="00F25919"/>
    <w:rsid w:val="00F25C44"/>
    <w:rsid w:val="00F25CB9"/>
    <w:rsid w:val="00F2601C"/>
    <w:rsid w:val="00F260BB"/>
    <w:rsid w:val="00F26483"/>
    <w:rsid w:val="00F268B9"/>
    <w:rsid w:val="00F26CE0"/>
    <w:rsid w:val="00F26E65"/>
    <w:rsid w:val="00F26F1F"/>
    <w:rsid w:val="00F2730A"/>
    <w:rsid w:val="00F2770D"/>
    <w:rsid w:val="00F27895"/>
    <w:rsid w:val="00F27FDC"/>
    <w:rsid w:val="00F300E7"/>
    <w:rsid w:val="00F30159"/>
    <w:rsid w:val="00F303C7"/>
    <w:rsid w:val="00F30432"/>
    <w:rsid w:val="00F308AE"/>
    <w:rsid w:val="00F30A21"/>
    <w:rsid w:val="00F30A7F"/>
    <w:rsid w:val="00F30F6C"/>
    <w:rsid w:val="00F3109C"/>
    <w:rsid w:val="00F312BB"/>
    <w:rsid w:val="00F31428"/>
    <w:rsid w:val="00F31488"/>
    <w:rsid w:val="00F31508"/>
    <w:rsid w:val="00F3182A"/>
    <w:rsid w:val="00F31860"/>
    <w:rsid w:val="00F318ED"/>
    <w:rsid w:val="00F31B1D"/>
    <w:rsid w:val="00F31D20"/>
    <w:rsid w:val="00F322E6"/>
    <w:rsid w:val="00F322FA"/>
    <w:rsid w:val="00F323DE"/>
    <w:rsid w:val="00F32ACE"/>
    <w:rsid w:val="00F32E5D"/>
    <w:rsid w:val="00F33047"/>
    <w:rsid w:val="00F335E3"/>
    <w:rsid w:val="00F33666"/>
    <w:rsid w:val="00F33FE4"/>
    <w:rsid w:val="00F34199"/>
    <w:rsid w:val="00F343C7"/>
    <w:rsid w:val="00F34668"/>
    <w:rsid w:val="00F347FC"/>
    <w:rsid w:val="00F34A29"/>
    <w:rsid w:val="00F34E84"/>
    <w:rsid w:val="00F34F1A"/>
    <w:rsid w:val="00F35797"/>
    <w:rsid w:val="00F358CD"/>
    <w:rsid w:val="00F359A7"/>
    <w:rsid w:val="00F35A19"/>
    <w:rsid w:val="00F35AE0"/>
    <w:rsid w:val="00F35C7A"/>
    <w:rsid w:val="00F35C84"/>
    <w:rsid w:val="00F35E6E"/>
    <w:rsid w:val="00F36053"/>
    <w:rsid w:val="00F3608F"/>
    <w:rsid w:val="00F3618F"/>
    <w:rsid w:val="00F36437"/>
    <w:rsid w:val="00F36462"/>
    <w:rsid w:val="00F36779"/>
    <w:rsid w:val="00F36A07"/>
    <w:rsid w:val="00F36AC6"/>
    <w:rsid w:val="00F36B84"/>
    <w:rsid w:val="00F36C91"/>
    <w:rsid w:val="00F37430"/>
    <w:rsid w:val="00F3766E"/>
    <w:rsid w:val="00F37743"/>
    <w:rsid w:val="00F377F3"/>
    <w:rsid w:val="00F37ABA"/>
    <w:rsid w:val="00F37C45"/>
    <w:rsid w:val="00F37C8B"/>
    <w:rsid w:val="00F37FBA"/>
    <w:rsid w:val="00F40093"/>
    <w:rsid w:val="00F400D7"/>
    <w:rsid w:val="00F40245"/>
    <w:rsid w:val="00F405C7"/>
    <w:rsid w:val="00F40712"/>
    <w:rsid w:val="00F40AF7"/>
    <w:rsid w:val="00F40EA0"/>
    <w:rsid w:val="00F411EB"/>
    <w:rsid w:val="00F411ED"/>
    <w:rsid w:val="00F412A2"/>
    <w:rsid w:val="00F414C4"/>
    <w:rsid w:val="00F41879"/>
    <w:rsid w:val="00F41AFC"/>
    <w:rsid w:val="00F41C63"/>
    <w:rsid w:val="00F42336"/>
    <w:rsid w:val="00F4240B"/>
    <w:rsid w:val="00F42865"/>
    <w:rsid w:val="00F429C9"/>
    <w:rsid w:val="00F42B81"/>
    <w:rsid w:val="00F42BEC"/>
    <w:rsid w:val="00F42E15"/>
    <w:rsid w:val="00F4303B"/>
    <w:rsid w:val="00F43362"/>
    <w:rsid w:val="00F435F1"/>
    <w:rsid w:val="00F43776"/>
    <w:rsid w:val="00F43C1D"/>
    <w:rsid w:val="00F43E38"/>
    <w:rsid w:val="00F44160"/>
    <w:rsid w:val="00F4419C"/>
    <w:rsid w:val="00F44342"/>
    <w:rsid w:val="00F446A1"/>
    <w:rsid w:val="00F446B9"/>
    <w:rsid w:val="00F44873"/>
    <w:rsid w:val="00F44EDC"/>
    <w:rsid w:val="00F44F36"/>
    <w:rsid w:val="00F45121"/>
    <w:rsid w:val="00F4550B"/>
    <w:rsid w:val="00F456BF"/>
    <w:rsid w:val="00F4570A"/>
    <w:rsid w:val="00F45B9F"/>
    <w:rsid w:val="00F45BF4"/>
    <w:rsid w:val="00F45D12"/>
    <w:rsid w:val="00F45E66"/>
    <w:rsid w:val="00F4621D"/>
    <w:rsid w:val="00F46294"/>
    <w:rsid w:val="00F467E5"/>
    <w:rsid w:val="00F46A59"/>
    <w:rsid w:val="00F46ACD"/>
    <w:rsid w:val="00F46B81"/>
    <w:rsid w:val="00F46D4E"/>
    <w:rsid w:val="00F46DAC"/>
    <w:rsid w:val="00F46DB5"/>
    <w:rsid w:val="00F471DD"/>
    <w:rsid w:val="00F4729F"/>
    <w:rsid w:val="00F474AB"/>
    <w:rsid w:val="00F47600"/>
    <w:rsid w:val="00F478F5"/>
    <w:rsid w:val="00F4790E"/>
    <w:rsid w:val="00F47CD5"/>
    <w:rsid w:val="00F47EFC"/>
    <w:rsid w:val="00F5004D"/>
    <w:rsid w:val="00F5089D"/>
    <w:rsid w:val="00F50AC1"/>
    <w:rsid w:val="00F50CE1"/>
    <w:rsid w:val="00F50E5D"/>
    <w:rsid w:val="00F50EC7"/>
    <w:rsid w:val="00F50F61"/>
    <w:rsid w:val="00F5135A"/>
    <w:rsid w:val="00F5162A"/>
    <w:rsid w:val="00F516B0"/>
    <w:rsid w:val="00F518D9"/>
    <w:rsid w:val="00F518DF"/>
    <w:rsid w:val="00F51948"/>
    <w:rsid w:val="00F51E43"/>
    <w:rsid w:val="00F520BD"/>
    <w:rsid w:val="00F523FA"/>
    <w:rsid w:val="00F52B94"/>
    <w:rsid w:val="00F5306C"/>
    <w:rsid w:val="00F534D7"/>
    <w:rsid w:val="00F53509"/>
    <w:rsid w:val="00F535DB"/>
    <w:rsid w:val="00F53A33"/>
    <w:rsid w:val="00F53AC8"/>
    <w:rsid w:val="00F53B61"/>
    <w:rsid w:val="00F53B65"/>
    <w:rsid w:val="00F53C5B"/>
    <w:rsid w:val="00F53C94"/>
    <w:rsid w:val="00F53CDC"/>
    <w:rsid w:val="00F53DBD"/>
    <w:rsid w:val="00F53EB1"/>
    <w:rsid w:val="00F54343"/>
    <w:rsid w:val="00F54437"/>
    <w:rsid w:val="00F54593"/>
    <w:rsid w:val="00F54658"/>
    <w:rsid w:val="00F54A07"/>
    <w:rsid w:val="00F54A58"/>
    <w:rsid w:val="00F55066"/>
    <w:rsid w:val="00F553DB"/>
    <w:rsid w:val="00F554F3"/>
    <w:rsid w:val="00F555B6"/>
    <w:rsid w:val="00F55E31"/>
    <w:rsid w:val="00F560D0"/>
    <w:rsid w:val="00F5612D"/>
    <w:rsid w:val="00F56159"/>
    <w:rsid w:val="00F565B8"/>
    <w:rsid w:val="00F568B1"/>
    <w:rsid w:val="00F56B6C"/>
    <w:rsid w:val="00F56D7D"/>
    <w:rsid w:val="00F56E28"/>
    <w:rsid w:val="00F57078"/>
    <w:rsid w:val="00F574E3"/>
    <w:rsid w:val="00F57533"/>
    <w:rsid w:val="00F57590"/>
    <w:rsid w:val="00F57A9E"/>
    <w:rsid w:val="00F600A1"/>
    <w:rsid w:val="00F60111"/>
    <w:rsid w:val="00F603A0"/>
    <w:rsid w:val="00F60762"/>
    <w:rsid w:val="00F60802"/>
    <w:rsid w:val="00F60B8C"/>
    <w:rsid w:val="00F60F14"/>
    <w:rsid w:val="00F614AB"/>
    <w:rsid w:val="00F61824"/>
    <w:rsid w:val="00F61962"/>
    <w:rsid w:val="00F61B2A"/>
    <w:rsid w:val="00F61E2C"/>
    <w:rsid w:val="00F61FA7"/>
    <w:rsid w:val="00F62798"/>
    <w:rsid w:val="00F62E32"/>
    <w:rsid w:val="00F6331E"/>
    <w:rsid w:val="00F633DD"/>
    <w:rsid w:val="00F635E2"/>
    <w:rsid w:val="00F63A7C"/>
    <w:rsid w:val="00F63AD0"/>
    <w:rsid w:val="00F63C81"/>
    <w:rsid w:val="00F63FE2"/>
    <w:rsid w:val="00F64388"/>
    <w:rsid w:val="00F64509"/>
    <w:rsid w:val="00F6456F"/>
    <w:rsid w:val="00F648F2"/>
    <w:rsid w:val="00F64938"/>
    <w:rsid w:val="00F64B02"/>
    <w:rsid w:val="00F64B18"/>
    <w:rsid w:val="00F64E1B"/>
    <w:rsid w:val="00F64F46"/>
    <w:rsid w:val="00F653BA"/>
    <w:rsid w:val="00F6580C"/>
    <w:rsid w:val="00F658D6"/>
    <w:rsid w:val="00F65DA1"/>
    <w:rsid w:val="00F65DB7"/>
    <w:rsid w:val="00F660E2"/>
    <w:rsid w:val="00F6679D"/>
    <w:rsid w:val="00F669EA"/>
    <w:rsid w:val="00F66C18"/>
    <w:rsid w:val="00F66E0F"/>
    <w:rsid w:val="00F67171"/>
    <w:rsid w:val="00F67597"/>
    <w:rsid w:val="00F6775F"/>
    <w:rsid w:val="00F67963"/>
    <w:rsid w:val="00F679EA"/>
    <w:rsid w:val="00F67CCF"/>
    <w:rsid w:val="00F67D12"/>
    <w:rsid w:val="00F67F62"/>
    <w:rsid w:val="00F70138"/>
    <w:rsid w:val="00F704AB"/>
    <w:rsid w:val="00F70CC3"/>
    <w:rsid w:val="00F70D42"/>
    <w:rsid w:val="00F70DEC"/>
    <w:rsid w:val="00F7121B"/>
    <w:rsid w:val="00F7154D"/>
    <w:rsid w:val="00F71888"/>
    <w:rsid w:val="00F7196E"/>
    <w:rsid w:val="00F71B3A"/>
    <w:rsid w:val="00F71D7F"/>
    <w:rsid w:val="00F71E62"/>
    <w:rsid w:val="00F71EC4"/>
    <w:rsid w:val="00F72231"/>
    <w:rsid w:val="00F723DC"/>
    <w:rsid w:val="00F72497"/>
    <w:rsid w:val="00F72541"/>
    <w:rsid w:val="00F7273B"/>
    <w:rsid w:val="00F72953"/>
    <w:rsid w:val="00F729C4"/>
    <w:rsid w:val="00F7313C"/>
    <w:rsid w:val="00F73492"/>
    <w:rsid w:val="00F73779"/>
    <w:rsid w:val="00F73819"/>
    <w:rsid w:val="00F73844"/>
    <w:rsid w:val="00F7393C"/>
    <w:rsid w:val="00F73CCB"/>
    <w:rsid w:val="00F7403B"/>
    <w:rsid w:val="00F740CE"/>
    <w:rsid w:val="00F74145"/>
    <w:rsid w:val="00F74653"/>
    <w:rsid w:val="00F746B8"/>
    <w:rsid w:val="00F74750"/>
    <w:rsid w:val="00F7489F"/>
    <w:rsid w:val="00F74B4E"/>
    <w:rsid w:val="00F74CDB"/>
    <w:rsid w:val="00F74DC7"/>
    <w:rsid w:val="00F74F99"/>
    <w:rsid w:val="00F7505A"/>
    <w:rsid w:val="00F7516B"/>
    <w:rsid w:val="00F755C5"/>
    <w:rsid w:val="00F75694"/>
    <w:rsid w:val="00F75803"/>
    <w:rsid w:val="00F766D9"/>
    <w:rsid w:val="00F76755"/>
    <w:rsid w:val="00F768FF"/>
    <w:rsid w:val="00F76C1A"/>
    <w:rsid w:val="00F76C26"/>
    <w:rsid w:val="00F76EBE"/>
    <w:rsid w:val="00F76EF3"/>
    <w:rsid w:val="00F777ED"/>
    <w:rsid w:val="00F77943"/>
    <w:rsid w:val="00F77DFF"/>
    <w:rsid w:val="00F8012C"/>
    <w:rsid w:val="00F80466"/>
    <w:rsid w:val="00F8046D"/>
    <w:rsid w:val="00F80AB0"/>
    <w:rsid w:val="00F80E12"/>
    <w:rsid w:val="00F80FE7"/>
    <w:rsid w:val="00F81310"/>
    <w:rsid w:val="00F81364"/>
    <w:rsid w:val="00F81723"/>
    <w:rsid w:val="00F81CB4"/>
    <w:rsid w:val="00F824A9"/>
    <w:rsid w:val="00F824BA"/>
    <w:rsid w:val="00F825BA"/>
    <w:rsid w:val="00F83162"/>
    <w:rsid w:val="00F83298"/>
    <w:rsid w:val="00F8364A"/>
    <w:rsid w:val="00F8374A"/>
    <w:rsid w:val="00F839FF"/>
    <w:rsid w:val="00F83B51"/>
    <w:rsid w:val="00F83DCB"/>
    <w:rsid w:val="00F83DE9"/>
    <w:rsid w:val="00F83E35"/>
    <w:rsid w:val="00F84094"/>
    <w:rsid w:val="00F84131"/>
    <w:rsid w:val="00F84304"/>
    <w:rsid w:val="00F846B0"/>
    <w:rsid w:val="00F84975"/>
    <w:rsid w:val="00F84DFD"/>
    <w:rsid w:val="00F85042"/>
    <w:rsid w:val="00F850CA"/>
    <w:rsid w:val="00F860F2"/>
    <w:rsid w:val="00F86523"/>
    <w:rsid w:val="00F86741"/>
    <w:rsid w:val="00F86882"/>
    <w:rsid w:val="00F868D6"/>
    <w:rsid w:val="00F869BF"/>
    <w:rsid w:val="00F86BD6"/>
    <w:rsid w:val="00F87015"/>
    <w:rsid w:val="00F8759E"/>
    <w:rsid w:val="00F87926"/>
    <w:rsid w:val="00F87C2D"/>
    <w:rsid w:val="00F90143"/>
    <w:rsid w:val="00F9015C"/>
    <w:rsid w:val="00F90716"/>
    <w:rsid w:val="00F90782"/>
    <w:rsid w:val="00F90819"/>
    <w:rsid w:val="00F908C9"/>
    <w:rsid w:val="00F908E0"/>
    <w:rsid w:val="00F909D0"/>
    <w:rsid w:val="00F90B1E"/>
    <w:rsid w:val="00F90E1D"/>
    <w:rsid w:val="00F9131D"/>
    <w:rsid w:val="00F91405"/>
    <w:rsid w:val="00F9152E"/>
    <w:rsid w:val="00F919C4"/>
    <w:rsid w:val="00F91BFC"/>
    <w:rsid w:val="00F923C9"/>
    <w:rsid w:val="00F92480"/>
    <w:rsid w:val="00F929EC"/>
    <w:rsid w:val="00F929FF"/>
    <w:rsid w:val="00F92FA7"/>
    <w:rsid w:val="00F9305D"/>
    <w:rsid w:val="00F936A7"/>
    <w:rsid w:val="00F9380C"/>
    <w:rsid w:val="00F9390A"/>
    <w:rsid w:val="00F939A5"/>
    <w:rsid w:val="00F93AE4"/>
    <w:rsid w:val="00F93C31"/>
    <w:rsid w:val="00F93CE2"/>
    <w:rsid w:val="00F93E38"/>
    <w:rsid w:val="00F9469E"/>
    <w:rsid w:val="00F9471A"/>
    <w:rsid w:val="00F94B35"/>
    <w:rsid w:val="00F94CE6"/>
    <w:rsid w:val="00F94DF8"/>
    <w:rsid w:val="00F94FBA"/>
    <w:rsid w:val="00F950AD"/>
    <w:rsid w:val="00F9516B"/>
    <w:rsid w:val="00F958D1"/>
    <w:rsid w:val="00F95A33"/>
    <w:rsid w:val="00F95BCE"/>
    <w:rsid w:val="00F95D61"/>
    <w:rsid w:val="00F95E63"/>
    <w:rsid w:val="00F95E98"/>
    <w:rsid w:val="00F95F32"/>
    <w:rsid w:val="00F96415"/>
    <w:rsid w:val="00F968D6"/>
    <w:rsid w:val="00F96A36"/>
    <w:rsid w:val="00F96B55"/>
    <w:rsid w:val="00F96B5A"/>
    <w:rsid w:val="00F96BCD"/>
    <w:rsid w:val="00F970AA"/>
    <w:rsid w:val="00F971EA"/>
    <w:rsid w:val="00F9757A"/>
    <w:rsid w:val="00F976BE"/>
    <w:rsid w:val="00F978B4"/>
    <w:rsid w:val="00F97C49"/>
    <w:rsid w:val="00F97E60"/>
    <w:rsid w:val="00FA0209"/>
    <w:rsid w:val="00FA0251"/>
    <w:rsid w:val="00FA0413"/>
    <w:rsid w:val="00FA07DA"/>
    <w:rsid w:val="00FA08B1"/>
    <w:rsid w:val="00FA099E"/>
    <w:rsid w:val="00FA0D57"/>
    <w:rsid w:val="00FA1132"/>
    <w:rsid w:val="00FA12C2"/>
    <w:rsid w:val="00FA12CF"/>
    <w:rsid w:val="00FA13C5"/>
    <w:rsid w:val="00FA14A0"/>
    <w:rsid w:val="00FA1B66"/>
    <w:rsid w:val="00FA1CA3"/>
    <w:rsid w:val="00FA1D16"/>
    <w:rsid w:val="00FA1D7C"/>
    <w:rsid w:val="00FA1F8A"/>
    <w:rsid w:val="00FA204E"/>
    <w:rsid w:val="00FA20C0"/>
    <w:rsid w:val="00FA21C5"/>
    <w:rsid w:val="00FA2457"/>
    <w:rsid w:val="00FA24C9"/>
    <w:rsid w:val="00FA25B1"/>
    <w:rsid w:val="00FA2779"/>
    <w:rsid w:val="00FA28B3"/>
    <w:rsid w:val="00FA2B21"/>
    <w:rsid w:val="00FA2C6E"/>
    <w:rsid w:val="00FA3194"/>
    <w:rsid w:val="00FA387F"/>
    <w:rsid w:val="00FA3D5C"/>
    <w:rsid w:val="00FA418C"/>
    <w:rsid w:val="00FA4297"/>
    <w:rsid w:val="00FA42B0"/>
    <w:rsid w:val="00FA42B4"/>
    <w:rsid w:val="00FA43F3"/>
    <w:rsid w:val="00FA46B3"/>
    <w:rsid w:val="00FA477E"/>
    <w:rsid w:val="00FA47A9"/>
    <w:rsid w:val="00FA4908"/>
    <w:rsid w:val="00FA4939"/>
    <w:rsid w:val="00FA4F27"/>
    <w:rsid w:val="00FA4F34"/>
    <w:rsid w:val="00FA5109"/>
    <w:rsid w:val="00FA53B8"/>
    <w:rsid w:val="00FA53DE"/>
    <w:rsid w:val="00FA5A33"/>
    <w:rsid w:val="00FA5F47"/>
    <w:rsid w:val="00FA6162"/>
    <w:rsid w:val="00FA61A3"/>
    <w:rsid w:val="00FA6305"/>
    <w:rsid w:val="00FA6379"/>
    <w:rsid w:val="00FA6485"/>
    <w:rsid w:val="00FA670C"/>
    <w:rsid w:val="00FA6A0C"/>
    <w:rsid w:val="00FA6AE3"/>
    <w:rsid w:val="00FA6E8E"/>
    <w:rsid w:val="00FA7304"/>
    <w:rsid w:val="00FA73A6"/>
    <w:rsid w:val="00FA74BD"/>
    <w:rsid w:val="00FA77FA"/>
    <w:rsid w:val="00FA7BD7"/>
    <w:rsid w:val="00FB0164"/>
    <w:rsid w:val="00FB01C3"/>
    <w:rsid w:val="00FB05AF"/>
    <w:rsid w:val="00FB05E4"/>
    <w:rsid w:val="00FB06F6"/>
    <w:rsid w:val="00FB0D05"/>
    <w:rsid w:val="00FB0D6D"/>
    <w:rsid w:val="00FB0F49"/>
    <w:rsid w:val="00FB11F2"/>
    <w:rsid w:val="00FB18BE"/>
    <w:rsid w:val="00FB1900"/>
    <w:rsid w:val="00FB1BCB"/>
    <w:rsid w:val="00FB1F3C"/>
    <w:rsid w:val="00FB22A0"/>
    <w:rsid w:val="00FB239A"/>
    <w:rsid w:val="00FB2512"/>
    <w:rsid w:val="00FB26FC"/>
    <w:rsid w:val="00FB2765"/>
    <w:rsid w:val="00FB29D6"/>
    <w:rsid w:val="00FB3107"/>
    <w:rsid w:val="00FB332D"/>
    <w:rsid w:val="00FB33E1"/>
    <w:rsid w:val="00FB353B"/>
    <w:rsid w:val="00FB37EF"/>
    <w:rsid w:val="00FB3DB5"/>
    <w:rsid w:val="00FB3DE5"/>
    <w:rsid w:val="00FB3EFF"/>
    <w:rsid w:val="00FB4CB1"/>
    <w:rsid w:val="00FB4F70"/>
    <w:rsid w:val="00FB4F75"/>
    <w:rsid w:val="00FB5106"/>
    <w:rsid w:val="00FB52A5"/>
    <w:rsid w:val="00FB5901"/>
    <w:rsid w:val="00FB5CA6"/>
    <w:rsid w:val="00FB5FEF"/>
    <w:rsid w:val="00FB6916"/>
    <w:rsid w:val="00FB6D43"/>
    <w:rsid w:val="00FB6D58"/>
    <w:rsid w:val="00FB7130"/>
    <w:rsid w:val="00FB7381"/>
    <w:rsid w:val="00FB7937"/>
    <w:rsid w:val="00FB7A3F"/>
    <w:rsid w:val="00FB7C8C"/>
    <w:rsid w:val="00FB7CC3"/>
    <w:rsid w:val="00FB7D1F"/>
    <w:rsid w:val="00FC02BA"/>
    <w:rsid w:val="00FC0804"/>
    <w:rsid w:val="00FC0812"/>
    <w:rsid w:val="00FC0F6A"/>
    <w:rsid w:val="00FC1260"/>
    <w:rsid w:val="00FC1833"/>
    <w:rsid w:val="00FC18D7"/>
    <w:rsid w:val="00FC2318"/>
    <w:rsid w:val="00FC2329"/>
    <w:rsid w:val="00FC279C"/>
    <w:rsid w:val="00FC27BE"/>
    <w:rsid w:val="00FC30D3"/>
    <w:rsid w:val="00FC34A0"/>
    <w:rsid w:val="00FC4367"/>
    <w:rsid w:val="00FC4639"/>
    <w:rsid w:val="00FC4813"/>
    <w:rsid w:val="00FC4905"/>
    <w:rsid w:val="00FC4A7D"/>
    <w:rsid w:val="00FC4B64"/>
    <w:rsid w:val="00FC4BFF"/>
    <w:rsid w:val="00FC4C0F"/>
    <w:rsid w:val="00FC4CC4"/>
    <w:rsid w:val="00FC4F08"/>
    <w:rsid w:val="00FC5328"/>
    <w:rsid w:val="00FC5421"/>
    <w:rsid w:val="00FC5518"/>
    <w:rsid w:val="00FC5735"/>
    <w:rsid w:val="00FC59D1"/>
    <w:rsid w:val="00FC5A64"/>
    <w:rsid w:val="00FC5E4B"/>
    <w:rsid w:val="00FC5E9D"/>
    <w:rsid w:val="00FC6113"/>
    <w:rsid w:val="00FC61C1"/>
    <w:rsid w:val="00FC651C"/>
    <w:rsid w:val="00FC657D"/>
    <w:rsid w:val="00FC6621"/>
    <w:rsid w:val="00FC668D"/>
    <w:rsid w:val="00FC6960"/>
    <w:rsid w:val="00FC6D4C"/>
    <w:rsid w:val="00FC7014"/>
    <w:rsid w:val="00FC76DF"/>
    <w:rsid w:val="00FC7B2E"/>
    <w:rsid w:val="00FC7C59"/>
    <w:rsid w:val="00FC7E0E"/>
    <w:rsid w:val="00FC7F4A"/>
    <w:rsid w:val="00FD052F"/>
    <w:rsid w:val="00FD08C4"/>
    <w:rsid w:val="00FD0909"/>
    <w:rsid w:val="00FD149E"/>
    <w:rsid w:val="00FD19BA"/>
    <w:rsid w:val="00FD1A37"/>
    <w:rsid w:val="00FD1D9B"/>
    <w:rsid w:val="00FD1EFA"/>
    <w:rsid w:val="00FD2112"/>
    <w:rsid w:val="00FD2D1B"/>
    <w:rsid w:val="00FD2F1B"/>
    <w:rsid w:val="00FD4435"/>
    <w:rsid w:val="00FD455F"/>
    <w:rsid w:val="00FD4CE0"/>
    <w:rsid w:val="00FD4E03"/>
    <w:rsid w:val="00FD5083"/>
    <w:rsid w:val="00FD553C"/>
    <w:rsid w:val="00FD5540"/>
    <w:rsid w:val="00FD5620"/>
    <w:rsid w:val="00FD579E"/>
    <w:rsid w:val="00FD5839"/>
    <w:rsid w:val="00FD5AAA"/>
    <w:rsid w:val="00FD5C27"/>
    <w:rsid w:val="00FD5F6B"/>
    <w:rsid w:val="00FD6101"/>
    <w:rsid w:val="00FD628A"/>
    <w:rsid w:val="00FD64B0"/>
    <w:rsid w:val="00FD67CA"/>
    <w:rsid w:val="00FD6DD9"/>
    <w:rsid w:val="00FD6ECB"/>
    <w:rsid w:val="00FD70D9"/>
    <w:rsid w:val="00FD746B"/>
    <w:rsid w:val="00FD7708"/>
    <w:rsid w:val="00FD77F3"/>
    <w:rsid w:val="00FD7BBA"/>
    <w:rsid w:val="00FD7FB6"/>
    <w:rsid w:val="00FE00BA"/>
    <w:rsid w:val="00FE0677"/>
    <w:rsid w:val="00FE0C6C"/>
    <w:rsid w:val="00FE0DBA"/>
    <w:rsid w:val="00FE131C"/>
    <w:rsid w:val="00FE13CA"/>
    <w:rsid w:val="00FE1B41"/>
    <w:rsid w:val="00FE1B58"/>
    <w:rsid w:val="00FE1DDA"/>
    <w:rsid w:val="00FE2151"/>
    <w:rsid w:val="00FE217D"/>
    <w:rsid w:val="00FE229B"/>
    <w:rsid w:val="00FE25B9"/>
    <w:rsid w:val="00FE281D"/>
    <w:rsid w:val="00FE2915"/>
    <w:rsid w:val="00FE29DE"/>
    <w:rsid w:val="00FE2AC6"/>
    <w:rsid w:val="00FE2AEC"/>
    <w:rsid w:val="00FE2E81"/>
    <w:rsid w:val="00FE35E5"/>
    <w:rsid w:val="00FE3694"/>
    <w:rsid w:val="00FE3B5D"/>
    <w:rsid w:val="00FE3E3F"/>
    <w:rsid w:val="00FE429E"/>
    <w:rsid w:val="00FE4814"/>
    <w:rsid w:val="00FE4818"/>
    <w:rsid w:val="00FE4AB7"/>
    <w:rsid w:val="00FE4BA6"/>
    <w:rsid w:val="00FE4CDA"/>
    <w:rsid w:val="00FE4CE2"/>
    <w:rsid w:val="00FE547B"/>
    <w:rsid w:val="00FE5494"/>
    <w:rsid w:val="00FE55E7"/>
    <w:rsid w:val="00FE5698"/>
    <w:rsid w:val="00FE56BD"/>
    <w:rsid w:val="00FE56E2"/>
    <w:rsid w:val="00FE5967"/>
    <w:rsid w:val="00FE5AFE"/>
    <w:rsid w:val="00FE620D"/>
    <w:rsid w:val="00FE62D1"/>
    <w:rsid w:val="00FE65A3"/>
    <w:rsid w:val="00FE6643"/>
    <w:rsid w:val="00FE6682"/>
    <w:rsid w:val="00FE695E"/>
    <w:rsid w:val="00FE6A92"/>
    <w:rsid w:val="00FE6AC6"/>
    <w:rsid w:val="00FE7117"/>
    <w:rsid w:val="00FE716E"/>
    <w:rsid w:val="00FE74E4"/>
    <w:rsid w:val="00FE7535"/>
    <w:rsid w:val="00FE75C1"/>
    <w:rsid w:val="00FF00CF"/>
    <w:rsid w:val="00FF02A3"/>
    <w:rsid w:val="00FF055E"/>
    <w:rsid w:val="00FF0576"/>
    <w:rsid w:val="00FF067E"/>
    <w:rsid w:val="00FF0C09"/>
    <w:rsid w:val="00FF0C98"/>
    <w:rsid w:val="00FF0FD0"/>
    <w:rsid w:val="00FF15FD"/>
    <w:rsid w:val="00FF17E1"/>
    <w:rsid w:val="00FF19D6"/>
    <w:rsid w:val="00FF1C6F"/>
    <w:rsid w:val="00FF1C8F"/>
    <w:rsid w:val="00FF1FD5"/>
    <w:rsid w:val="00FF2057"/>
    <w:rsid w:val="00FF2123"/>
    <w:rsid w:val="00FF22B1"/>
    <w:rsid w:val="00FF25BB"/>
    <w:rsid w:val="00FF261C"/>
    <w:rsid w:val="00FF267C"/>
    <w:rsid w:val="00FF29B1"/>
    <w:rsid w:val="00FF2AAD"/>
    <w:rsid w:val="00FF2BB9"/>
    <w:rsid w:val="00FF2D79"/>
    <w:rsid w:val="00FF2D7C"/>
    <w:rsid w:val="00FF2E65"/>
    <w:rsid w:val="00FF2E7A"/>
    <w:rsid w:val="00FF30EC"/>
    <w:rsid w:val="00FF3251"/>
    <w:rsid w:val="00FF3587"/>
    <w:rsid w:val="00FF35D7"/>
    <w:rsid w:val="00FF391C"/>
    <w:rsid w:val="00FF3A5E"/>
    <w:rsid w:val="00FF4053"/>
    <w:rsid w:val="00FF4172"/>
    <w:rsid w:val="00FF4677"/>
    <w:rsid w:val="00FF4B03"/>
    <w:rsid w:val="00FF4F03"/>
    <w:rsid w:val="00FF533E"/>
    <w:rsid w:val="00FF5398"/>
    <w:rsid w:val="00FF5400"/>
    <w:rsid w:val="00FF5600"/>
    <w:rsid w:val="00FF56F6"/>
    <w:rsid w:val="00FF5CE4"/>
    <w:rsid w:val="00FF640B"/>
    <w:rsid w:val="00FF641E"/>
    <w:rsid w:val="00FF6492"/>
    <w:rsid w:val="00FF6623"/>
    <w:rsid w:val="00FF6645"/>
    <w:rsid w:val="00FF6CC1"/>
    <w:rsid w:val="00FF7060"/>
    <w:rsid w:val="00FF717F"/>
    <w:rsid w:val="00FF7266"/>
    <w:rsid w:val="00FF73F7"/>
    <w:rsid w:val="00FF7786"/>
    <w:rsid w:val="00FF78FC"/>
    <w:rsid w:val="00FF7928"/>
    <w:rsid w:val="00FF7A5A"/>
    <w:rsid w:val="00FF7C87"/>
    <w:rsid w:val="00FF7E0A"/>
    <w:rsid w:val="01353A68"/>
    <w:rsid w:val="0231E3DC"/>
    <w:rsid w:val="02AA878D"/>
    <w:rsid w:val="03AFC0D0"/>
    <w:rsid w:val="0458A862"/>
    <w:rsid w:val="04643C7C"/>
    <w:rsid w:val="0486B229"/>
    <w:rsid w:val="04E1A8A2"/>
    <w:rsid w:val="0663F37A"/>
    <w:rsid w:val="06ADD6DB"/>
    <w:rsid w:val="0758DC48"/>
    <w:rsid w:val="076A4CB9"/>
    <w:rsid w:val="0A99742D"/>
    <w:rsid w:val="0B52F290"/>
    <w:rsid w:val="0B9C628F"/>
    <w:rsid w:val="0C21C52E"/>
    <w:rsid w:val="0FC1D9FD"/>
    <w:rsid w:val="101BD478"/>
    <w:rsid w:val="12534773"/>
    <w:rsid w:val="140C3D67"/>
    <w:rsid w:val="15A22D38"/>
    <w:rsid w:val="15E4D0CF"/>
    <w:rsid w:val="17FA3B8F"/>
    <w:rsid w:val="18894A65"/>
    <w:rsid w:val="1991B4D0"/>
    <w:rsid w:val="1A1338E7"/>
    <w:rsid w:val="1A607D3D"/>
    <w:rsid w:val="1AE22DE8"/>
    <w:rsid w:val="1B37F0DA"/>
    <w:rsid w:val="1B52146C"/>
    <w:rsid w:val="1B84BB12"/>
    <w:rsid w:val="1BFDABD7"/>
    <w:rsid w:val="1EC54628"/>
    <w:rsid w:val="1F194B64"/>
    <w:rsid w:val="224038DE"/>
    <w:rsid w:val="22BE71A0"/>
    <w:rsid w:val="25CCA88C"/>
    <w:rsid w:val="2A22BE2E"/>
    <w:rsid w:val="2C135BAF"/>
    <w:rsid w:val="2C1B660A"/>
    <w:rsid w:val="2C79AB24"/>
    <w:rsid w:val="2D019DE5"/>
    <w:rsid w:val="2E51B5A9"/>
    <w:rsid w:val="2E7030D5"/>
    <w:rsid w:val="2E9BB6DA"/>
    <w:rsid w:val="2EC77E2A"/>
    <w:rsid w:val="305CBD6E"/>
    <w:rsid w:val="3256CF6A"/>
    <w:rsid w:val="32A8CFEB"/>
    <w:rsid w:val="3A83F9FA"/>
    <w:rsid w:val="3B9F48F7"/>
    <w:rsid w:val="3BA1DCBA"/>
    <w:rsid w:val="3BA9B2EB"/>
    <w:rsid w:val="3E5E6904"/>
    <w:rsid w:val="3E86D73A"/>
    <w:rsid w:val="3EE7922F"/>
    <w:rsid w:val="3FAEB271"/>
    <w:rsid w:val="3FD8F362"/>
    <w:rsid w:val="40958436"/>
    <w:rsid w:val="41C55200"/>
    <w:rsid w:val="4279682F"/>
    <w:rsid w:val="428C88F2"/>
    <w:rsid w:val="42E71E98"/>
    <w:rsid w:val="43AD5A55"/>
    <w:rsid w:val="43CE2451"/>
    <w:rsid w:val="45A9E76A"/>
    <w:rsid w:val="45BDB81D"/>
    <w:rsid w:val="45FFFEE5"/>
    <w:rsid w:val="46FE04A4"/>
    <w:rsid w:val="471B76FF"/>
    <w:rsid w:val="47459275"/>
    <w:rsid w:val="47DA1C8E"/>
    <w:rsid w:val="4A637EB1"/>
    <w:rsid w:val="4B017F03"/>
    <w:rsid w:val="4B2E4E19"/>
    <w:rsid w:val="4D709771"/>
    <w:rsid w:val="4D98C2BA"/>
    <w:rsid w:val="4DB7ACB9"/>
    <w:rsid w:val="4E079BB2"/>
    <w:rsid w:val="4E18B05D"/>
    <w:rsid w:val="4E45E67A"/>
    <w:rsid w:val="4E52443C"/>
    <w:rsid w:val="4FD7B872"/>
    <w:rsid w:val="4FF098A7"/>
    <w:rsid w:val="52192167"/>
    <w:rsid w:val="52708E78"/>
    <w:rsid w:val="5335BB2C"/>
    <w:rsid w:val="5354CFA5"/>
    <w:rsid w:val="564EA098"/>
    <w:rsid w:val="5668344E"/>
    <w:rsid w:val="56C59EBA"/>
    <w:rsid w:val="59A4CF3C"/>
    <w:rsid w:val="5A7EE393"/>
    <w:rsid w:val="5D5920B9"/>
    <w:rsid w:val="5F80F546"/>
    <w:rsid w:val="60B0AC2C"/>
    <w:rsid w:val="634DD210"/>
    <w:rsid w:val="655F2FAE"/>
    <w:rsid w:val="659EBC86"/>
    <w:rsid w:val="67373246"/>
    <w:rsid w:val="6CCAC6CE"/>
    <w:rsid w:val="6D1D6CA1"/>
    <w:rsid w:val="6D6D7344"/>
    <w:rsid w:val="6DCEFC7A"/>
    <w:rsid w:val="6E4CEE8B"/>
    <w:rsid w:val="711E5A4F"/>
    <w:rsid w:val="71844420"/>
    <w:rsid w:val="71C44B17"/>
    <w:rsid w:val="71CECAC6"/>
    <w:rsid w:val="730B754F"/>
    <w:rsid w:val="73D4C7E6"/>
    <w:rsid w:val="74E29CE6"/>
    <w:rsid w:val="74FE3FA3"/>
    <w:rsid w:val="75279FA8"/>
    <w:rsid w:val="75ACF25E"/>
    <w:rsid w:val="75B06C29"/>
    <w:rsid w:val="77A12534"/>
    <w:rsid w:val="780A933C"/>
    <w:rsid w:val="790BE9C5"/>
    <w:rsid w:val="7A7D8842"/>
    <w:rsid w:val="7B71F417"/>
    <w:rsid w:val="7B7F1345"/>
    <w:rsid w:val="7CDFF0F4"/>
    <w:rsid w:val="7F1192CC"/>
    <w:rsid w:val="7F9829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6FB68"/>
  <w15:docId w15:val="{C2BC822C-2D14-4284-BE85-DDD082CF4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772B"/>
  </w:style>
  <w:style w:type="paragraph" w:styleId="Heading1">
    <w:name w:val="heading 1"/>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link w:val="Heading3Char"/>
    <w:uiPriority w:val="9"/>
    <w:unhideWhenUsed/>
    <w:qFormat/>
    <w:pPr>
      <w:outlineLvl w:val="2"/>
    </w:pPr>
    <w:rPr>
      <w:color w:val="1F4D78"/>
      <w:sz w:val="24"/>
      <w:szCs w:val="24"/>
    </w:rPr>
  </w:style>
  <w:style w:type="paragraph" w:styleId="Heading4">
    <w:name w:val="heading 4"/>
    <w:uiPriority w:val="9"/>
    <w:unhideWhenUsed/>
    <w:qFormat/>
    <w:pPr>
      <w:outlineLvl w:val="3"/>
    </w:pPr>
    <w:rPr>
      <w:i/>
      <w:iCs/>
      <w:color w:val="2E74B5"/>
    </w:rPr>
  </w:style>
  <w:style w:type="paragraph" w:styleId="Heading5">
    <w:name w:val="heading 5"/>
    <w:uiPriority w:val="9"/>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2">
    <w:name w:val="toc 2"/>
    <w:basedOn w:val="Normal"/>
    <w:next w:val="Normal"/>
    <w:autoRedefine/>
    <w:uiPriority w:val="39"/>
    <w:unhideWhenUsed/>
    <w:rsid w:val="00C94ACA"/>
    <w:pPr>
      <w:spacing w:after="100"/>
      <w:ind w:left="220"/>
    </w:pPr>
  </w:style>
  <w:style w:type="paragraph" w:styleId="TOC1">
    <w:name w:val="toc 1"/>
    <w:basedOn w:val="Normal"/>
    <w:next w:val="Normal"/>
    <w:autoRedefine/>
    <w:uiPriority w:val="39"/>
    <w:unhideWhenUsed/>
    <w:rsid w:val="00C94ACA"/>
    <w:pPr>
      <w:spacing w:after="100"/>
    </w:pPr>
  </w:style>
  <w:style w:type="paragraph" w:styleId="TOC3">
    <w:name w:val="toc 3"/>
    <w:basedOn w:val="Normal"/>
    <w:next w:val="Normal"/>
    <w:autoRedefine/>
    <w:uiPriority w:val="39"/>
    <w:unhideWhenUsed/>
    <w:rsid w:val="00C94ACA"/>
    <w:pPr>
      <w:spacing w:after="100"/>
      <w:ind w:left="440"/>
    </w:pPr>
  </w:style>
  <w:style w:type="paragraph" w:styleId="Header">
    <w:name w:val="header"/>
    <w:basedOn w:val="Normal"/>
    <w:link w:val="HeaderChar"/>
    <w:uiPriority w:val="99"/>
    <w:unhideWhenUsed/>
    <w:rsid w:val="00976F70"/>
    <w:pPr>
      <w:tabs>
        <w:tab w:val="center" w:pos="4680"/>
        <w:tab w:val="right" w:pos="9360"/>
      </w:tabs>
    </w:pPr>
  </w:style>
  <w:style w:type="character" w:customStyle="1" w:styleId="HeaderChar">
    <w:name w:val="Header Char"/>
    <w:basedOn w:val="DefaultParagraphFont"/>
    <w:link w:val="Header"/>
    <w:uiPriority w:val="99"/>
    <w:rsid w:val="00976F70"/>
  </w:style>
  <w:style w:type="paragraph" w:styleId="Footer">
    <w:name w:val="footer"/>
    <w:basedOn w:val="Normal"/>
    <w:link w:val="FooterChar"/>
    <w:uiPriority w:val="99"/>
    <w:unhideWhenUsed/>
    <w:rsid w:val="00976F70"/>
    <w:pPr>
      <w:tabs>
        <w:tab w:val="center" w:pos="4680"/>
        <w:tab w:val="right" w:pos="9360"/>
      </w:tabs>
    </w:pPr>
  </w:style>
  <w:style w:type="character" w:customStyle="1" w:styleId="FooterChar">
    <w:name w:val="Footer Char"/>
    <w:basedOn w:val="DefaultParagraphFont"/>
    <w:link w:val="Footer"/>
    <w:uiPriority w:val="99"/>
    <w:rsid w:val="00976F70"/>
  </w:style>
  <w:style w:type="character" w:styleId="CommentReference">
    <w:name w:val="annotation reference"/>
    <w:basedOn w:val="DefaultParagraphFont"/>
    <w:uiPriority w:val="99"/>
    <w:semiHidden/>
    <w:unhideWhenUsed/>
    <w:rsid w:val="000664A1"/>
    <w:rPr>
      <w:sz w:val="16"/>
      <w:szCs w:val="16"/>
    </w:rPr>
  </w:style>
  <w:style w:type="paragraph" w:styleId="CommentText">
    <w:name w:val="annotation text"/>
    <w:basedOn w:val="Normal"/>
    <w:link w:val="CommentTextChar"/>
    <w:uiPriority w:val="99"/>
    <w:unhideWhenUsed/>
    <w:rsid w:val="000664A1"/>
    <w:rPr>
      <w:sz w:val="20"/>
      <w:szCs w:val="20"/>
    </w:rPr>
  </w:style>
  <w:style w:type="character" w:customStyle="1" w:styleId="CommentTextChar">
    <w:name w:val="Comment Text Char"/>
    <w:basedOn w:val="DefaultParagraphFont"/>
    <w:link w:val="CommentText"/>
    <w:uiPriority w:val="99"/>
    <w:rsid w:val="000664A1"/>
    <w:rPr>
      <w:sz w:val="20"/>
      <w:szCs w:val="20"/>
    </w:rPr>
  </w:style>
  <w:style w:type="paragraph" w:styleId="CommentSubject">
    <w:name w:val="annotation subject"/>
    <w:basedOn w:val="CommentText"/>
    <w:next w:val="CommentText"/>
    <w:link w:val="CommentSubjectChar"/>
    <w:uiPriority w:val="99"/>
    <w:semiHidden/>
    <w:unhideWhenUsed/>
    <w:rsid w:val="000664A1"/>
    <w:rPr>
      <w:b/>
      <w:bCs/>
    </w:rPr>
  </w:style>
  <w:style w:type="character" w:customStyle="1" w:styleId="CommentSubjectChar">
    <w:name w:val="Comment Subject Char"/>
    <w:basedOn w:val="CommentTextChar"/>
    <w:link w:val="CommentSubject"/>
    <w:uiPriority w:val="99"/>
    <w:semiHidden/>
    <w:rsid w:val="000664A1"/>
    <w:rPr>
      <w:b/>
      <w:bCs/>
      <w:sz w:val="20"/>
      <w:szCs w:val="20"/>
    </w:rPr>
  </w:style>
  <w:style w:type="character" w:styleId="Mention">
    <w:name w:val="Mention"/>
    <w:basedOn w:val="DefaultParagraphFont"/>
    <w:uiPriority w:val="99"/>
    <w:unhideWhenUsed/>
    <w:rsid w:val="002D3C7F"/>
    <w:rPr>
      <w:color w:val="2B579A"/>
      <w:shd w:val="clear" w:color="auto" w:fill="E1DFDD"/>
    </w:rPr>
  </w:style>
  <w:style w:type="paragraph" w:styleId="Revision">
    <w:name w:val="Revision"/>
    <w:hidden/>
    <w:uiPriority w:val="99"/>
    <w:semiHidden/>
    <w:rsid w:val="00094F4F"/>
  </w:style>
  <w:style w:type="character" w:customStyle="1" w:styleId="Heading3Char">
    <w:name w:val="Heading 3 Char"/>
    <w:basedOn w:val="DefaultParagraphFont"/>
    <w:link w:val="Heading3"/>
    <w:uiPriority w:val="9"/>
    <w:rsid w:val="00937DBC"/>
    <w:rPr>
      <w:color w:val="1F4D78"/>
      <w:sz w:val="24"/>
      <w:szCs w:val="24"/>
    </w:rPr>
  </w:style>
  <w:style w:type="paragraph" w:styleId="Caption">
    <w:name w:val="caption"/>
    <w:basedOn w:val="Normal"/>
    <w:next w:val="Normal"/>
    <w:uiPriority w:val="35"/>
    <w:unhideWhenUsed/>
    <w:qFormat/>
    <w:rsid w:val="00146DEB"/>
    <w:pPr>
      <w:spacing w:after="200"/>
    </w:pPr>
    <w:rPr>
      <w:i/>
      <w:iCs/>
      <w:color w:val="0E2841" w:themeColor="text2"/>
      <w:sz w:val="18"/>
      <w:szCs w:val="18"/>
    </w:rPr>
  </w:style>
  <w:style w:type="character" w:styleId="UnresolvedMention">
    <w:name w:val="Unresolved Mention"/>
    <w:basedOn w:val="DefaultParagraphFont"/>
    <w:uiPriority w:val="99"/>
    <w:semiHidden/>
    <w:unhideWhenUsed/>
    <w:rsid w:val="00542C10"/>
    <w:rPr>
      <w:color w:val="605E5C"/>
      <w:shd w:val="clear" w:color="auto" w:fill="E1DFDD"/>
    </w:rPr>
  </w:style>
  <w:style w:type="character" w:customStyle="1" w:styleId="Heading2Char">
    <w:name w:val="Heading 2 Char"/>
    <w:basedOn w:val="DefaultParagraphFont"/>
    <w:link w:val="Heading2"/>
    <w:uiPriority w:val="9"/>
    <w:rsid w:val="00642BC8"/>
    <w:rPr>
      <w:color w:val="2E74B5"/>
      <w:sz w:val="26"/>
      <w:szCs w:val="26"/>
    </w:rPr>
  </w:style>
  <w:style w:type="table" w:styleId="TableGrid">
    <w:name w:val="Table Grid"/>
    <w:basedOn w:val="TableNormal"/>
    <w:uiPriority w:val="39"/>
    <w:rsid w:val="00130D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2E575D"/>
    <w:pPr>
      <w:pBdr>
        <w:top w:val="nil"/>
        <w:left w:val="nil"/>
        <w:bottom w:val="nil"/>
        <w:right w:val="nil"/>
        <w:between w:val="nil"/>
        <w:bar w:val="nil"/>
      </w:pBdr>
      <w:spacing w:after="120" w:line="240" w:lineRule="atLeast"/>
    </w:pPr>
    <w:rPr>
      <w:rFonts w:ascii="Georgia" w:eastAsia="Arial Unicode MS" w:hAnsi="Georgia" w:cs="Arial Unicode MS"/>
      <w:color w:val="000000"/>
      <w:sz w:val="21"/>
      <w:szCs w:val="21"/>
      <w:u w:color="000000"/>
      <w:bdr w:val="nil"/>
      <w14:textOutline w14:w="12700" w14:cap="flat" w14:cmpd="sng" w14:algn="ctr">
        <w14:noFill/>
        <w14:prstDash w14:val="solid"/>
        <w14:miter w14:lim="400000"/>
      </w14:textOutline>
    </w:rPr>
  </w:style>
  <w:style w:type="character" w:customStyle="1" w:styleId="None">
    <w:name w:val="None"/>
    <w:rsid w:val="002E575D"/>
  </w:style>
  <w:style w:type="numbering" w:customStyle="1" w:styleId="ImportedStyle18">
    <w:name w:val="Imported Style 18"/>
    <w:rsid w:val="002E575D"/>
    <w:pPr>
      <w:numPr>
        <w:numId w:val="2"/>
      </w:numPr>
    </w:pPr>
  </w:style>
  <w:style w:type="paragraph" w:styleId="NoSpacing">
    <w:name w:val="No Spacing"/>
    <w:uiPriority w:val="1"/>
    <w:qFormat/>
    <w:rsid w:val="00C077E7"/>
  </w:style>
  <w:style w:type="paragraph" w:styleId="NormalWeb">
    <w:name w:val="Normal (Web)"/>
    <w:basedOn w:val="Normal"/>
    <w:uiPriority w:val="99"/>
    <w:unhideWhenUsed/>
    <w:rsid w:val="00C8103F"/>
    <w:pPr>
      <w:spacing w:before="100" w:beforeAutospacing="1" w:after="100" w:afterAutospacing="1"/>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647C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microsoft.com/office/2016/09/relationships/commentsIds" Target="commentsIds.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footer" Target="footer1.xml"/><Relationship Id="rId17" Type="http://schemas.microsoft.com/office/2011/relationships/commentsExtended" Target="commentsExtended.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www.brattle.com/the-untapped-grid/" TargetMode="External"/><Relationship Id="rId18" Type="http://schemas.openxmlformats.org/officeDocument/2006/relationships/hyperlink" Target="https://ma-eeac.org/results-reporting/quarterly-reports/" TargetMode="External"/><Relationship Id="rId26" Type="http://schemas.openxmlformats.org/officeDocument/2006/relationships/hyperlink" Target="https://www.dominionenergy.com/virginia/renewable-energy-programs/shared-solar-program" TargetMode="External"/><Relationship Id="rId39" Type="http://schemas.openxmlformats.org/officeDocument/2006/relationships/hyperlink" Target="https://legiscan.com/VA/text/SB621/id/3361187" TargetMode="External"/><Relationship Id="rId21" Type="http://schemas.openxmlformats.org/officeDocument/2006/relationships/hyperlink" Target="https://law.lis.virginia.gov/vacode/title56/chapter23/section56-585.1:16/" TargetMode="External"/><Relationship Id="rId34" Type="http://schemas.openxmlformats.org/officeDocument/2006/relationships/hyperlink" Target="https://lis.virginia.gov/bill-details/20261/HB809" TargetMode="External"/><Relationship Id="rId42" Type="http://schemas.openxmlformats.org/officeDocument/2006/relationships/hyperlink" Target="https://lis.virginia.gov/bill-details/20261/SB823" TargetMode="External"/><Relationship Id="rId7" Type="http://schemas.openxmlformats.org/officeDocument/2006/relationships/hyperlink" Target="https://bloombergcities.jhu.edu/faqs/how-can-municipalities-fund-resilience-hubs" TargetMode="External"/><Relationship Id="rId2" Type="http://schemas.openxmlformats.org/officeDocument/2006/relationships/hyperlink" Target="https://www.pew.org/en/research-and-analysis/reports/2026/04/distributed-energy-can-unleash-the-resilient-affordable-grid-of-the-future" TargetMode="External"/><Relationship Id="rId16" Type="http://schemas.openxmlformats.org/officeDocument/2006/relationships/hyperlink" Target="https://ma-eeac.org/wp-content/uploads/Quarterly-Report-of-the-PAs-2020-Q4-Final.pdf" TargetMode="External"/><Relationship Id="rId20" Type="http://schemas.openxmlformats.org/officeDocument/2006/relationships/hyperlink" Target="https://www.brattle.com/wp-content/uploads/2025/08/Assessing-VPP-Performance-Impacts-of-a-Test-Event-in-California-1.pdf" TargetMode="External"/><Relationship Id="rId29" Type="http://schemas.openxmlformats.org/officeDocument/2006/relationships/hyperlink" Target="file:///Users/tedko/My%20Drive%20(ted@epdiusa.org)/Projects/VA%20DER%20Task%20Force/Task%20Force%20Report/Virginia%20Mercury,%20Nov.%2015,%202019" TargetMode="External"/><Relationship Id="rId41" Type="http://schemas.openxmlformats.org/officeDocument/2006/relationships/hyperlink" Target="https://lis.virginia.gov/bill-details/20261/HB1255" TargetMode="External"/><Relationship Id="rId1" Type="http://schemas.openxmlformats.org/officeDocument/2006/relationships/hyperlink" Target="https://www.naruc.org/core-sectors/energy-resources-and-the-environment/der-integration-compensation/" TargetMode="External"/><Relationship Id="rId6" Type="http://schemas.openxmlformats.org/officeDocument/2006/relationships/hyperlink" Target="https://www.energy.gov/oe/microgrids-rd-mgrd-portfolio-activities" TargetMode="External"/><Relationship Id="rId11" Type="http://schemas.openxmlformats.org/officeDocument/2006/relationships/hyperlink" Target="https://www.energy.gov/sites/default/files/2024-10/DOE_OP_2024_Report-Transmission_Impact_Assessment.pdf" TargetMode="External"/><Relationship Id="rId24" Type="http://schemas.openxmlformats.org/officeDocument/2006/relationships/hyperlink" Target="https://www.eia.gov/todayinenergy/detail.php?id=67664" TargetMode="External"/><Relationship Id="rId32" Type="http://schemas.openxmlformats.org/officeDocument/2006/relationships/hyperlink" Target="https://lis.virginia.gov/bill-details/20261/HB807" TargetMode="External"/><Relationship Id="rId37" Type="http://schemas.openxmlformats.org/officeDocument/2006/relationships/hyperlink" Target="https://lis.virginia.gov/bill-details/20261/HB284" TargetMode="External"/><Relationship Id="rId40" Type="http://schemas.openxmlformats.org/officeDocument/2006/relationships/hyperlink" Target="https://lis.virginia.gov/bill-details/20261/HB628" TargetMode="External"/><Relationship Id="rId5" Type="http://schemas.openxmlformats.org/officeDocument/2006/relationships/hyperlink" Target="https://www.ferc.gov/ferc-order-no-2222-explainer-facilitating-participation-electricity-markets-distributed-energy" TargetMode="External"/><Relationship Id="rId15" Type="http://schemas.openxmlformats.org/officeDocument/2006/relationships/hyperlink" Target="https://www.cleanegroup.org/wp-content/uploads/ConnectedSolutions-An-Assessment-for-Massachusetts.pdf" TargetMode="External"/><Relationship Id="rId23" Type="http://schemas.openxmlformats.org/officeDocument/2006/relationships/hyperlink" Target="https://www.eia.gov/todayinenergy/detail.php?id=67664" TargetMode="External"/><Relationship Id="rId28" Type="http://schemas.openxmlformats.org/officeDocument/2006/relationships/hyperlink" Target="https://law.lis.virginia.gov/uncodifiedacts/2018/session1/chapter296/" TargetMode="External"/><Relationship Id="rId36" Type="http://schemas.openxmlformats.org/officeDocument/2006/relationships/hyperlink" Target="https://dls.virginia.gov/commissions/eur/files/Energy_Legislation_Virginia_2026_CEUR_Summary.pdf" TargetMode="External"/><Relationship Id="rId10" Type="http://schemas.openxmlformats.org/officeDocument/2006/relationships/hyperlink" Target="https://greenmountainpower.com/news/gmps-growing-stored-energy-network-delivers-6m-in-savings-during-july-heat-wave/" TargetMode="External"/><Relationship Id="rId19" Type="http://schemas.openxmlformats.org/officeDocument/2006/relationships/hyperlink" Target="https://law.lis.virginia.gov/vacode/title56/chapter23/section56-585.1:16/" TargetMode="External"/><Relationship Id="rId31" Type="http://schemas.openxmlformats.org/officeDocument/2006/relationships/hyperlink" Target="https://lis.virginia.gov/bill-details/20261/HB285" TargetMode="External"/><Relationship Id="rId44" Type="http://schemas.openxmlformats.org/officeDocument/2006/relationships/hyperlink" Target="https://lis.virginia.gov/bill-details/20261/SB382" TargetMode="External"/><Relationship Id="rId4" Type="http://schemas.openxmlformats.org/officeDocument/2006/relationships/hyperlink" Target="https://www.ferc.gov/media/ferc-order-no-2222-fact-sheet" TargetMode="External"/><Relationship Id="rId9" Type="http://schemas.openxmlformats.org/officeDocument/2006/relationships/hyperlink" Target="https://www.brattle.com/wp-content/uploads/2026/03/The-Untapped-Grid-Mar-2026.pdf" TargetMode="External"/><Relationship Id="rId14" Type="http://schemas.openxmlformats.org/officeDocument/2006/relationships/hyperlink" Target="https://liftoff.energy.gov/wp-content/uploads/2025/01/LIFTOFF_DOE_VirtualPowerPlants2025Update.pdf" TargetMode="External"/><Relationship Id="rId22" Type="http://schemas.openxmlformats.org/officeDocument/2006/relationships/hyperlink" Target="https://www.pjm.com/-/media/DotCom/committees-groups/subcommittees/disrs/2026/20260406/20260406-item-03-1--ferc-order-2222-timeline-and-registration-process---presentation.pdf" TargetMode="External"/><Relationship Id="rId27" Type="http://schemas.openxmlformats.org/officeDocument/2006/relationships/hyperlink" Target="https://www.appalachianpower.com/clean-energy/renewable/solar/shared-solar-program" TargetMode="External"/><Relationship Id="rId30" Type="http://schemas.openxmlformats.org/officeDocument/2006/relationships/hyperlink" Target="https://law.lis.virginia.gov/vacode/56-585.5/" TargetMode="External"/><Relationship Id="rId35" Type="http://schemas.openxmlformats.org/officeDocument/2006/relationships/hyperlink" Target="https://lis.virginia.gov/bill-details/20261/HB895" TargetMode="External"/><Relationship Id="rId43" Type="http://schemas.openxmlformats.org/officeDocument/2006/relationships/hyperlink" Target="https://lis.virginia.gov/bill-details/20261/SB487" TargetMode="External"/><Relationship Id="rId8" Type="http://schemas.openxmlformats.org/officeDocument/2006/relationships/hyperlink" Target="https://www.eia.gov/analysis/studies/buildings/dg_storage_chp/" TargetMode="External"/><Relationship Id="rId3" Type="http://schemas.openxmlformats.org/officeDocument/2006/relationships/hyperlink" Target="https://law.lis.virginia.gov/vacode/title56/chapter23/section56-585.1:16/" TargetMode="External"/><Relationship Id="rId12" Type="http://schemas.openxmlformats.org/officeDocument/2006/relationships/hyperlink" Target="https://www.utilitydive.com/news/better-grid-utilization-could-save-customers-170b-brattle-report/815436/" TargetMode="External"/><Relationship Id="rId17" Type="http://schemas.openxmlformats.org/officeDocument/2006/relationships/hyperlink" Target="https://www.cleanegroup.org/wp-content/uploads/ConnectedSolutions-An-Assessment-for-Massachusetts.pdf" TargetMode="External"/><Relationship Id="rId25" Type="http://schemas.openxmlformats.org/officeDocument/2006/relationships/hyperlink" Target="https://www.dominionenergy.com/-/media/content/about/our-company/irp/pdfs/2025-integrated-resource-plan-update.pdf" TargetMode="External"/><Relationship Id="rId33" Type="http://schemas.openxmlformats.org/officeDocument/2006/relationships/hyperlink" Target="https://www.dominionenergy.com/virginia/renewable-energy-programs/shared-solar-program" TargetMode="External"/><Relationship Id="rId38" Type="http://schemas.openxmlformats.org/officeDocument/2006/relationships/hyperlink" Target="https://lis.virginia.gov/bill-details/20261/HB434/text/CHAP061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amedeloitte.sharepoint.com/sites/VirginiaDERTaskForceAnalysisSupport/Shared%20Documents/General/DER%20Load%20Forecast%20Modeling/3.%20ElectrifiedGrid%20Modeling/Data%20Sourc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en-US"/>
              <a:t>Virginia DER Deployment, 2016-2024 (MW): BTM Solar PV, Battery</a:t>
            </a:r>
            <a:r>
              <a:rPr lang="en-US" baseline="0"/>
              <a:t> Storage, Shared Solar and Demand Response</a:t>
            </a:r>
            <a:endParaRPr lang="en-US"/>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v>Distributed Solar PV (&lt;5MW)</c:v>
          </c:tx>
          <c:spPr>
            <a:solidFill>
              <a:srgbClr val="F2B705"/>
            </a:solidFill>
            <a:ln>
              <a:noFill/>
            </a:ln>
            <a:effectLst/>
          </c:spPr>
          <c:invertIfNegative val="0"/>
          <c:cat>
            <c:numRef>
              <c:f>'1C'!$K$66:$K$74</c:f>
              <c:numCache>
                <c:formatCode>0</c:formatCode>
                <c:ptCount val="9"/>
                <c:pt idx="0">
                  <c:v>2016</c:v>
                </c:pt>
                <c:pt idx="1">
                  <c:v>2017</c:v>
                </c:pt>
                <c:pt idx="2">
                  <c:v>2018</c:v>
                </c:pt>
                <c:pt idx="3">
                  <c:v>2019</c:v>
                </c:pt>
                <c:pt idx="4">
                  <c:v>2020</c:v>
                </c:pt>
                <c:pt idx="5">
                  <c:v>2021</c:v>
                </c:pt>
                <c:pt idx="6">
                  <c:v>2022</c:v>
                </c:pt>
                <c:pt idx="7">
                  <c:v>2023</c:v>
                </c:pt>
                <c:pt idx="8">
                  <c:v>2024</c:v>
                </c:pt>
              </c:numCache>
            </c:numRef>
          </c:cat>
          <c:val>
            <c:numRef>
              <c:f>'1C'!$L$66:$L$74</c:f>
              <c:numCache>
                <c:formatCode>#,##0.000</c:formatCode>
                <c:ptCount val="9"/>
                <c:pt idx="0">
                  <c:v>32.700000000000003</c:v>
                </c:pt>
                <c:pt idx="1">
                  <c:v>44.85</c:v>
                </c:pt>
                <c:pt idx="2">
                  <c:v>65.86</c:v>
                </c:pt>
                <c:pt idx="3">
                  <c:v>107.8</c:v>
                </c:pt>
                <c:pt idx="4">
                  <c:v>166.26</c:v>
                </c:pt>
                <c:pt idx="5">
                  <c:v>239</c:v>
                </c:pt>
                <c:pt idx="6">
                  <c:v>362.95</c:v>
                </c:pt>
                <c:pt idx="7">
                  <c:v>623.51</c:v>
                </c:pt>
                <c:pt idx="8">
                  <c:v>721.7</c:v>
                </c:pt>
              </c:numCache>
            </c:numRef>
          </c:val>
          <c:extLst>
            <c:ext xmlns:c16="http://schemas.microsoft.com/office/drawing/2014/chart" uri="{C3380CC4-5D6E-409C-BE32-E72D297353CC}">
              <c16:uniqueId val="{00000000-E371-41A2-A483-E0A76A594A3D}"/>
            </c:ext>
          </c:extLst>
        </c:ser>
        <c:ser>
          <c:idx val="1"/>
          <c:order val="1"/>
          <c:tx>
            <c:v>Distributed Battery Capacity</c:v>
          </c:tx>
          <c:spPr>
            <a:solidFill>
              <a:srgbClr val="2E75B6"/>
            </a:solidFill>
            <a:ln>
              <a:noFill/>
            </a:ln>
            <a:effectLst/>
          </c:spPr>
          <c:invertIfNegative val="0"/>
          <c:cat>
            <c:numRef>
              <c:f>'1C'!$K$66:$K$74</c:f>
              <c:numCache>
                <c:formatCode>0</c:formatCode>
                <c:ptCount val="9"/>
                <c:pt idx="0">
                  <c:v>2016</c:v>
                </c:pt>
                <c:pt idx="1">
                  <c:v>2017</c:v>
                </c:pt>
                <c:pt idx="2">
                  <c:v>2018</c:v>
                </c:pt>
                <c:pt idx="3">
                  <c:v>2019</c:v>
                </c:pt>
                <c:pt idx="4">
                  <c:v>2020</c:v>
                </c:pt>
                <c:pt idx="5">
                  <c:v>2021</c:v>
                </c:pt>
                <c:pt idx="6">
                  <c:v>2022</c:v>
                </c:pt>
                <c:pt idx="7">
                  <c:v>2023</c:v>
                </c:pt>
                <c:pt idx="8">
                  <c:v>2024</c:v>
                </c:pt>
              </c:numCache>
            </c:numRef>
          </c:cat>
          <c:val>
            <c:numRef>
              <c:f>'1C'!$M$66:$M$74</c:f>
              <c:numCache>
                <c:formatCode>#,##0.000</c:formatCode>
                <c:ptCount val="9"/>
                <c:pt idx="0">
                  <c:v>1.05</c:v>
                </c:pt>
                <c:pt idx="1">
                  <c:v>1.29</c:v>
                </c:pt>
                <c:pt idx="2">
                  <c:v>1.95</c:v>
                </c:pt>
                <c:pt idx="3">
                  <c:v>4.12</c:v>
                </c:pt>
                <c:pt idx="4">
                  <c:v>15.25</c:v>
                </c:pt>
                <c:pt idx="5">
                  <c:v>32.42</c:v>
                </c:pt>
                <c:pt idx="6">
                  <c:v>48.4</c:v>
                </c:pt>
                <c:pt idx="7">
                  <c:v>66.28</c:v>
                </c:pt>
                <c:pt idx="8">
                  <c:v>75.98</c:v>
                </c:pt>
              </c:numCache>
            </c:numRef>
          </c:val>
          <c:extLst>
            <c:ext xmlns:c16="http://schemas.microsoft.com/office/drawing/2014/chart" uri="{C3380CC4-5D6E-409C-BE32-E72D297353CC}">
              <c16:uniqueId val="{00000001-E371-41A2-A483-E0A76A594A3D}"/>
            </c:ext>
          </c:extLst>
        </c:ser>
        <c:ser>
          <c:idx val="2"/>
          <c:order val="2"/>
          <c:tx>
            <c:v>Shared Solar</c:v>
          </c:tx>
          <c:spPr>
            <a:solidFill>
              <a:srgbClr val="A6A6A6"/>
            </a:solidFill>
            <a:ln>
              <a:noFill/>
            </a:ln>
            <a:effectLst/>
          </c:spPr>
          <c:invertIfNegative val="0"/>
          <c:cat>
            <c:numRef>
              <c:f>'1C'!$K$66:$K$74</c:f>
              <c:numCache>
                <c:formatCode>0</c:formatCode>
                <c:ptCount val="9"/>
                <c:pt idx="0">
                  <c:v>2016</c:v>
                </c:pt>
                <c:pt idx="1">
                  <c:v>2017</c:v>
                </c:pt>
                <c:pt idx="2">
                  <c:v>2018</c:v>
                </c:pt>
                <c:pt idx="3">
                  <c:v>2019</c:v>
                </c:pt>
                <c:pt idx="4">
                  <c:v>2020</c:v>
                </c:pt>
                <c:pt idx="5">
                  <c:v>2021</c:v>
                </c:pt>
                <c:pt idx="6">
                  <c:v>2022</c:v>
                </c:pt>
                <c:pt idx="7">
                  <c:v>2023</c:v>
                </c:pt>
                <c:pt idx="8">
                  <c:v>2024</c:v>
                </c:pt>
              </c:numCache>
            </c:numRef>
          </c:cat>
          <c:val>
            <c:numRef>
              <c:f>'1C'!$N$66:$N$74</c:f>
              <c:numCache>
                <c:formatCode>#,##0.000</c:formatCode>
                <c:ptCount val="9"/>
                <c:pt idx="0">
                  <c:v>0.45408000000000004</c:v>
                </c:pt>
                <c:pt idx="1">
                  <c:v>9.94848</c:v>
                </c:pt>
                <c:pt idx="2">
                  <c:v>13.746239999999998</c:v>
                </c:pt>
                <c:pt idx="3">
                  <c:v>32.735039999999998</c:v>
                </c:pt>
                <c:pt idx="4">
                  <c:v>32.735039999999998</c:v>
                </c:pt>
                <c:pt idx="5">
                  <c:v>32.735039999999998</c:v>
                </c:pt>
                <c:pt idx="6">
                  <c:v>32.735039999999998</c:v>
                </c:pt>
                <c:pt idx="7">
                  <c:v>38.101439999999997</c:v>
                </c:pt>
                <c:pt idx="8">
                  <c:v>95.582023679999992</c:v>
                </c:pt>
              </c:numCache>
            </c:numRef>
          </c:val>
          <c:extLst>
            <c:ext xmlns:c16="http://schemas.microsoft.com/office/drawing/2014/chart" uri="{C3380CC4-5D6E-409C-BE32-E72D297353CC}">
              <c16:uniqueId val="{00000002-E371-41A2-A483-E0A76A594A3D}"/>
            </c:ext>
          </c:extLst>
        </c:ser>
        <c:ser>
          <c:idx val="3"/>
          <c:order val="3"/>
          <c:tx>
            <c:v>Demand response</c:v>
          </c:tx>
          <c:spPr>
            <a:solidFill>
              <a:srgbClr val="C00000"/>
            </a:solidFill>
            <a:ln>
              <a:noFill/>
            </a:ln>
            <a:effectLst/>
          </c:spPr>
          <c:invertIfNegative val="0"/>
          <c:cat>
            <c:numRef>
              <c:f>'1C'!$K$66:$K$74</c:f>
              <c:numCache>
                <c:formatCode>0</c:formatCode>
                <c:ptCount val="9"/>
                <c:pt idx="0">
                  <c:v>2016</c:v>
                </c:pt>
                <c:pt idx="1">
                  <c:v>2017</c:v>
                </c:pt>
                <c:pt idx="2">
                  <c:v>2018</c:v>
                </c:pt>
                <c:pt idx="3">
                  <c:v>2019</c:v>
                </c:pt>
                <c:pt idx="4">
                  <c:v>2020</c:v>
                </c:pt>
                <c:pt idx="5">
                  <c:v>2021</c:v>
                </c:pt>
                <c:pt idx="6">
                  <c:v>2022</c:v>
                </c:pt>
                <c:pt idx="7">
                  <c:v>2023</c:v>
                </c:pt>
                <c:pt idx="8">
                  <c:v>2024</c:v>
                </c:pt>
              </c:numCache>
            </c:numRef>
          </c:cat>
          <c:val>
            <c:numRef>
              <c:f>'1C'!$S$66:$S$74</c:f>
              <c:numCache>
                <c:formatCode>#,##0.000</c:formatCode>
                <c:ptCount val="9"/>
                <c:pt idx="0">
                  <c:v>0</c:v>
                </c:pt>
                <c:pt idx="1">
                  <c:v>4.1198500000000005</c:v>
                </c:pt>
                <c:pt idx="2">
                  <c:v>0</c:v>
                </c:pt>
                <c:pt idx="3">
                  <c:v>0</c:v>
                </c:pt>
                <c:pt idx="4">
                  <c:v>3.5428699999999997</c:v>
                </c:pt>
                <c:pt idx="5">
                  <c:v>10.158950000000001</c:v>
                </c:pt>
                <c:pt idx="6">
                  <c:v>15.58184</c:v>
                </c:pt>
                <c:pt idx="7">
                  <c:v>44.284529999999997</c:v>
                </c:pt>
                <c:pt idx="8">
                  <c:v>60.292249999999996</c:v>
                </c:pt>
              </c:numCache>
            </c:numRef>
          </c:val>
          <c:extLst>
            <c:ext xmlns:c16="http://schemas.microsoft.com/office/drawing/2014/chart" uri="{C3380CC4-5D6E-409C-BE32-E72D297353CC}">
              <c16:uniqueId val="{00000003-E371-41A2-A483-E0A76A594A3D}"/>
            </c:ext>
          </c:extLst>
        </c:ser>
        <c:dLbls>
          <c:showLegendKey val="0"/>
          <c:showVal val="0"/>
          <c:showCatName val="0"/>
          <c:showSerName val="0"/>
          <c:showPercent val="0"/>
          <c:showBubbleSize val="0"/>
        </c:dLbls>
        <c:gapWidth val="150"/>
        <c:overlap val="100"/>
        <c:axId val="5976912"/>
        <c:axId val="341969584"/>
      </c:barChart>
      <c:catAx>
        <c:axId val="59769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341969584"/>
        <c:crosses val="autoZero"/>
        <c:auto val="1"/>
        <c:lblAlgn val="ctr"/>
        <c:lblOffset val="100"/>
        <c:noMultiLvlLbl val="0"/>
      </c:catAx>
      <c:valAx>
        <c:axId val="3419695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a:t>Capacity (MW)</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5976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E871BF946790438BF4CEC8492BA1B3" ma:contentTypeVersion="12" ma:contentTypeDescription="Create a new document." ma:contentTypeScope="" ma:versionID="89797c73a0dfe208f33e4daed63c1677">
  <xsd:schema xmlns:xsd="http://www.w3.org/2001/XMLSchema" xmlns:xs="http://www.w3.org/2001/XMLSchema" xmlns:p="http://schemas.microsoft.com/office/2006/metadata/properties" xmlns:ns2="42d3321b-3ea3-4e95-8eea-ed4fafb7da30" xmlns:ns3="cc1c7771-5478-46cf-9071-e2e303ac2509" targetNamespace="http://schemas.microsoft.com/office/2006/metadata/properties" ma:root="true" ma:fieldsID="2e97556e025147663f236a4d14d7c256" ns2:_="" ns3:_="">
    <xsd:import namespace="42d3321b-3ea3-4e95-8eea-ed4fafb7da30"/>
    <xsd:import namespace="cc1c7771-5478-46cf-9071-e2e303ac25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Author0" minOccurs="0"/>
                <xsd:element ref="ns2:MediaServiceDateTaken" minOccurs="0"/>
                <xsd:element ref="ns2:MediaServiceOCR"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d3321b-3ea3-4e95-8eea-ed4fafb7da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Author0" ma:index="14" nillable="true" ma:displayName="Author"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c1c7771-5478-46cf-9071-e2e303ac250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9633479-c34f-4de8-be75-4807863f2084}" ma:internalName="TaxCatchAll" ma:showField="CatchAllData" ma:web="cc1c7771-5478-46cf-9071-e2e303ac25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c1c7771-5478-46cf-9071-e2e303ac2509" xsi:nil="true"/>
    <lcf76f155ced4ddcb4097134ff3c332f xmlns="42d3321b-3ea3-4e95-8eea-ed4fafb7da30">
      <Terms xmlns="http://schemas.microsoft.com/office/infopath/2007/PartnerControls"/>
    </lcf76f155ced4ddcb4097134ff3c332f>
    <Author0 xmlns="42d3321b-3ea3-4e95-8eea-ed4fafb7da30">
      <UserInfo>
        <DisplayName/>
        <AccountId xsi:nil="true"/>
        <AccountType/>
      </UserInfo>
    </Author0>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0F101-C954-4CC4-BDBC-A5F4B884C719}">
  <ds:schemaRefs>
    <ds:schemaRef ds:uri="http://schemas.microsoft.com/sharepoint/v3/contenttype/forms"/>
  </ds:schemaRefs>
</ds:datastoreItem>
</file>

<file path=customXml/itemProps2.xml><?xml version="1.0" encoding="utf-8"?>
<ds:datastoreItem xmlns:ds="http://schemas.openxmlformats.org/officeDocument/2006/customXml" ds:itemID="{6D151C5D-E192-4C10-8D6F-E2067B7E2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d3321b-3ea3-4e95-8eea-ed4fafb7da30"/>
    <ds:schemaRef ds:uri="cc1c7771-5478-46cf-9071-e2e303ac2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5461B7-42FA-4B16-A5FB-4DC883E53377}">
  <ds:schemaRefs>
    <ds:schemaRef ds:uri="http://schemas.microsoft.com/office/2006/metadata/properties"/>
    <ds:schemaRef ds:uri="http://schemas.microsoft.com/office/infopath/2007/PartnerControls"/>
    <ds:schemaRef ds:uri="cc1c7771-5478-46cf-9071-e2e303ac2509"/>
    <ds:schemaRef ds:uri="42d3321b-3ea3-4e95-8eea-ed4fafb7da30"/>
  </ds:schemaRefs>
</ds:datastoreItem>
</file>

<file path=customXml/itemProps4.xml><?xml version="1.0" encoding="utf-8"?>
<ds:datastoreItem xmlns:ds="http://schemas.openxmlformats.org/officeDocument/2006/customXml" ds:itemID="{E8FC75EF-AA91-4B9B-85BE-404E457595B5}">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208</TotalTime>
  <Pages>1</Pages>
  <Words>18060</Words>
  <Characters>102944</Characters>
  <Application>Microsoft Office Word</Application>
  <DocSecurity>4</DocSecurity>
  <Lines>857</Lines>
  <Paragraphs>241</Paragraphs>
  <ScaleCrop>false</ScaleCrop>
  <HeadingPairs>
    <vt:vector size="2" baseType="variant">
      <vt:variant>
        <vt:lpstr>Title</vt:lpstr>
      </vt:variant>
      <vt:variant>
        <vt:i4>1</vt:i4>
      </vt:variant>
    </vt:vector>
  </HeadingPairs>
  <TitlesOfParts>
    <vt:vector size="1" baseType="lpstr">
      <vt:lpstr>Virginia Distributed Energy Resources Task Force — Draft Report Template</vt:lpstr>
    </vt:vector>
  </TitlesOfParts>
  <Company/>
  <LinksUpToDate>false</LinksUpToDate>
  <CharactersWithSpaces>120763</CharactersWithSpaces>
  <SharedDoc>false</SharedDoc>
  <HLinks>
    <vt:vector size="552" baseType="variant">
      <vt:variant>
        <vt:i4>1900596</vt:i4>
      </vt:variant>
      <vt:variant>
        <vt:i4>284</vt:i4>
      </vt:variant>
      <vt:variant>
        <vt:i4>0</vt:i4>
      </vt:variant>
      <vt:variant>
        <vt:i4>5</vt:i4>
      </vt:variant>
      <vt:variant>
        <vt:lpwstr/>
      </vt:variant>
      <vt:variant>
        <vt:lpwstr>_Toc239862930</vt:lpwstr>
      </vt:variant>
      <vt:variant>
        <vt:i4>1835060</vt:i4>
      </vt:variant>
      <vt:variant>
        <vt:i4>278</vt:i4>
      </vt:variant>
      <vt:variant>
        <vt:i4>0</vt:i4>
      </vt:variant>
      <vt:variant>
        <vt:i4>5</vt:i4>
      </vt:variant>
      <vt:variant>
        <vt:lpwstr/>
      </vt:variant>
      <vt:variant>
        <vt:lpwstr>_Toc239862929</vt:lpwstr>
      </vt:variant>
      <vt:variant>
        <vt:i4>1835060</vt:i4>
      </vt:variant>
      <vt:variant>
        <vt:i4>272</vt:i4>
      </vt:variant>
      <vt:variant>
        <vt:i4>0</vt:i4>
      </vt:variant>
      <vt:variant>
        <vt:i4>5</vt:i4>
      </vt:variant>
      <vt:variant>
        <vt:lpwstr/>
      </vt:variant>
      <vt:variant>
        <vt:lpwstr>_Toc239862927</vt:lpwstr>
      </vt:variant>
      <vt:variant>
        <vt:i4>1835060</vt:i4>
      </vt:variant>
      <vt:variant>
        <vt:i4>266</vt:i4>
      </vt:variant>
      <vt:variant>
        <vt:i4>0</vt:i4>
      </vt:variant>
      <vt:variant>
        <vt:i4>5</vt:i4>
      </vt:variant>
      <vt:variant>
        <vt:lpwstr/>
      </vt:variant>
      <vt:variant>
        <vt:lpwstr>_Toc239862925</vt:lpwstr>
      </vt:variant>
      <vt:variant>
        <vt:i4>1835060</vt:i4>
      </vt:variant>
      <vt:variant>
        <vt:i4>260</vt:i4>
      </vt:variant>
      <vt:variant>
        <vt:i4>0</vt:i4>
      </vt:variant>
      <vt:variant>
        <vt:i4>5</vt:i4>
      </vt:variant>
      <vt:variant>
        <vt:lpwstr/>
      </vt:variant>
      <vt:variant>
        <vt:lpwstr>_Toc239862924</vt:lpwstr>
      </vt:variant>
      <vt:variant>
        <vt:i4>1835060</vt:i4>
      </vt:variant>
      <vt:variant>
        <vt:i4>254</vt:i4>
      </vt:variant>
      <vt:variant>
        <vt:i4>0</vt:i4>
      </vt:variant>
      <vt:variant>
        <vt:i4>5</vt:i4>
      </vt:variant>
      <vt:variant>
        <vt:lpwstr/>
      </vt:variant>
      <vt:variant>
        <vt:lpwstr>_Toc239862923</vt:lpwstr>
      </vt:variant>
      <vt:variant>
        <vt:i4>1835060</vt:i4>
      </vt:variant>
      <vt:variant>
        <vt:i4>248</vt:i4>
      </vt:variant>
      <vt:variant>
        <vt:i4>0</vt:i4>
      </vt:variant>
      <vt:variant>
        <vt:i4>5</vt:i4>
      </vt:variant>
      <vt:variant>
        <vt:lpwstr/>
      </vt:variant>
      <vt:variant>
        <vt:lpwstr>_Toc239862922</vt:lpwstr>
      </vt:variant>
      <vt:variant>
        <vt:i4>2031668</vt:i4>
      </vt:variant>
      <vt:variant>
        <vt:i4>242</vt:i4>
      </vt:variant>
      <vt:variant>
        <vt:i4>0</vt:i4>
      </vt:variant>
      <vt:variant>
        <vt:i4>5</vt:i4>
      </vt:variant>
      <vt:variant>
        <vt:lpwstr/>
      </vt:variant>
      <vt:variant>
        <vt:lpwstr>_Toc239862919</vt:lpwstr>
      </vt:variant>
      <vt:variant>
        <vt:i4>2031668</vt:i4>
      </vt:variant>
      <vt:variant>
        <vt:i4>236</vt:i4>
      </vt:variant>
      <vt:variant>
        <vt:i4>0</vt:i4>
      </vt:variant>
      <vt:variant>
        <vt:i4>5</vt:i4>
      </vt:variant>
      <vt:variant>
        <vt:lpwstr/>
      </vt:variant>
      <vt:variant>
        <vt:lpwstr>_Toc239862918</vt:lpwstr>
      </vt:variant>
      <vt:variant>
        <vt:i4>2031668</vt:i4>
      </vt:variant>
      <vt:variant>
        <vt:i4>230</vt:i4>
      </vt:variant>
      <vt:variant>
        <vt:i4>0</vt:i4>
      </vt:variant>
      <vt:variant>
        <vt:i4>5</vt:i4>
      </vt:variant>
      <vt:variant>
        <vt:lpwstr/>
      </vt:variant>
      <vt:variant>
        <vt:lpwstr>_Toc239862917</vt:lpwstr>
      </vt:variant>
      <vt:variant>
        <vt:i4>2031668</vt:i4>
      </vt:variant>
      <vt:variant>
        <vt:i4>224</vt:i4>
      </vt:variant>
      <vt:variant>
        <vt:i4>0</vt:i4>
      </vt:variant>
      <vt:variant>
        <vt:i4>5</vt:i4>
      </vt:variant>
      <vt:variant>
        <vt:lpwstr/>
      </vt:variant>
      <vt:variant>
        <vt:lpwstr>_Toc239862916</vt:lpwstr>
      </vt:variant>
      <vt:variant>
        <vt:i4>2031668</vt:i4>
      </vt:variant>
      <vt:variant>
        <vt:i4>218</vt:i4>
      </vt:variant>
      <vt:variant>
        <vt:i4>0</vt:i4>
      </vt:variant>
      <vt:variant>
        <vt:i4>5</vt:i4>
      </vt:variant>
      <vt:variant>
        <vt:lpwstr/>
      </vt:variant>
      <vt:variant>
        <vt:lpwstr>_Toc239862915</vt:lpwstr>
      </vt:variant>
      <vt:variant>
        <vt:i4>2031668</vt:i4>
      </vt:variant>
      <vt:variant>
        <vt:i4>212</vt:i4>
      </vt:variant>
      <vt:variant>
        <vt:i4>0</vt:i4>
      </vt:variant>
      <vt:variant>
        <vt:i4>5</vt:i4>
      </vt:variant>
      <vt:variant>
        <vt:lpwstr/>
      </vt:variant>
      <vt:variant>
        <vt:lpwstr>_Toc239862914</vt:lpwstr>
      </vt:variant>
      <vt:variant>
        <vt:i4>2031668</vt:i4>
      </vt:variant>
      <vt:variant>
        <vt:i4>206</vt:i4>
      </vt:variant>
      <vt:variant>
        <vt:i4>0</vt:i4>
      </vt:variant>
      <vt:variant>
        <vt:i4>5</vt:i4>
      </vt:variant>
      <vt:variant>
        <vt:lpwstr/>
      </vt:variant>
      <vt:variant>
        <vt:lpwstr>_Toc239862913</vt:lpwstr>
      </vt:variant>
      <vt:variant>
        <vt:i4>2031668</vt:i4>
      </vt:variant>
      <vt:variant>
        <vt:i4>200</vt:i4>
      </vt:variant>
      <vt:variant>
        <vt:i4>0</vt:i4>
      </vt:variant>
      <vt:variant>
        <vt:i4>5</vt:i4>
      </vt:variant>
      <vt:variant>
        <vt:lpwstr/>
      </vt:variant>
      <vt:variant>
        <vt:lpwstr>_Toc239862912</vt:lpwstr>
      </vt:variant>
      <vt:variant>
        <vt:i4>2031668</vt:i4>
      </vt:variant>
      <vt:variant>
        <vt:i4>194</vt:i4>
      </vt:variant>
      <vt:variant>
        <vt:i4>0</vt:i4>
      </vt:variant>
      <vt:variant>
        <vt:i4>5</vt:i4>
      </vt:variant>
      <vt:variant>
        <vt:lpwstr/>
      </vt:variant>
      <vt:variant>
        <vt:lpwstr>_Toc239862911</vt:lpwstr>
      </vt:variant>
      <vt:variant>
        <vt:i4>2031668</vt:i4>
      </vt:variant>
      <vt:variant>
        <vt:i4>188</vt:i4>
      </vt:variant>
      <vt:variant>
        <vt:i4>0</vt:i4>
      </vt:variant>
      <vt:variant>
        <vt:i4>5</vt:i4>
      </vt:variant>
      <vt:variant>
        <vt:lpwstr/>
      </vt:variant>
      <vt:variant>
        <vt:lpwstr>_Toc239862910</vt:lpwstr>
      </vt:variant>
      <vt:variant>
        <vt:i4>1966132</vt:i4>
      </vt:variant>
      <vt:variant>
        <vt:i4>182</vt:i4>
      </vt:variant>
      <vt:variant>
        <vt:i4>0</vt:i4>
      </vt:variant>
      <vt:variant>
        <vt:i4>5</vt:i4>
      </vt:variant>
      <vt:variant>
        <vt:lpwstr/>
      </vt:variant>
      <vt:variant>
        <vt:lpwstr>_Toc239862909</vt:lpwstr>
      </vt:variant>
      <vt:variant>
        <vt:i4>1966132</vt:i4>
      </vt:variant>
      <vt:variant>
        <vt:i4>176</vt:i4>
      </vt:variant>
      <vt:variant>
        <vt:i4>0</vt:i4>
      </vt:variant>
      <vt:variant>
        <vt:i4>5</vt:i4>
      </vt:variant>
      <vt:variant>
        <vt:lpwstr/>
      </vt:variant>
      <vt:variant>
        <vt:lpwstr>_Toc239862908</vt:lpwstr>
      </vt:variant>
      <vt:variant>
        <vt:i4>1966132</vt:i4>
      </vt:variant>
      <vt:variant>
        <vt:i4>170</vt:i4>
      </vt:variant>
      <vt:variant>
        <vt:i4>0</vt:i4>
      </vt:variant>
      <vt:variant>
        <vt:i4>5</vt:i4>
      </vt:variant>
      <vt:variant>
        <vt:lpwstr/>
      </vt:variant>
      <vt:variant>
        <vt:lpwstr>_Toc239862907</vt:lpwstr>
      </vt:variant>
      <vt:variant>
        <vt:i4>1966132</vt:i4>
      </vt:variant>
      <vt:variant>
        <vt:i4>164</vt:i4>
      </vt:variant>
      <vt:variant>
        <vt:i4>0</vt:i4>
      </vt:variant>
      <vt:variant>
        <vt:i4>5</vt:i4>
      </vt:variant>
      <vt:variant>
        <vt:lpwstr/>
      </vt:variant>
      <vt:variant>
        <vt:lpwstr>_Toc239862906</vt:lpwstr>
      </vt:variant>
      <vt:variant>
        <vt:i4>1966132</vt:i4>
      </vt:variant>
      <vt:variant>
        <vt:i4>158</vt:i4>
      </vt:variant>
      <vt:variant>
        <vt:i4>0</vt:i4>
      </vt:variant>
      <vt:variant>
        <vt:i4>5</vt:i4>
      </vt:variant>
      <vt:variant>
        <vt:lpwstr/>
      </vt:variant>
      <vt:variant>
        <vt:lpwstr>_Toc239862905</vt:lpwstr>
      </vt:variant>
      <vt:variant>
        <vt:i4>1966132</vt:i4>
      </vt:variant>
      <vt:variant>
        <vt:i4>152</vt:i4>
      </vt:variant>
      <vt:variant>
        <vt:i4>0</vt:i4>
      </vt:variant>
      <vt:variant>
        <vt:i4>5</vt:i4>
      </vt:variant>
      <vt:variant>
        <vt:lpwstr/>
      </vt:variant>
      <vt:variant>
        <vt:lpwstr>_Toc239862904</vt:lpwstr>
      </vt:variant>
      <vt:variant>
        <vt:i4>1966132</vt:i4>
      </vt:variant>
      <vt:variant>
        <vt:i4>146</vt:i4>
      </vt:variant>
      <vt:variant>
        <vt:i4>0</vt:i4>
      </vt:variant>
      <vt:variant>
        <vt:i4>5</vt:i4>
      </vt:variant>
      <vt:variant>
        <vt:lpwstr/>
      </vt:variant>
      <vt:variant>
        <vt:lpwstr>_Toc239862903</vt:lpwstr>
      </vt:variant>
      <vt:variant>
        <vt:i4>1966132</vt:i4>
      </vt:variant>
      <vt:variant>
        <vt:i4>140</vt:i4>
      </vt:variant>
      <vt:variant>
        <vt:i4>0</vt:i4>
      </vt:variant>
      <vt:variant>
        <vt:i4>5</vt:i4>
      </vt:variant>
      <vt:variant>
        <vt:lpwstr/>
      </vt:variant>
      <vt:variant>
        <vt:lpwstr>_Toc239862902</vt:lpwstr>
      </vt:variant>
      <vt:variant>
        <vt:i4>1966132</vt:i4>
      </vt:variant>
      <vt:variant>
        <vt:i4>134</vt:i4>
      </vt:variant>
      <vt:variant>
        <vt:i4>0</vt:i4>
      </vt:variant>
      <vt:variant>
        <vt:i4>5</vt:i4>
      </vt:variant>
      <vt:variant>
        <vt:lpwstr/>
      </vt:variant>
      <vt:variant>
        <vt:lpwstr>_Toc239862901</vt:lpwstr>
      </vt:variant>
      <vt:variant>
        <vt:i4>1966132</vt:i4>
      </vt:variant>
      <vt:variant>
        <vt:i4>128</vt:i4>
      </vt:variant>
      <vt:variant>
        <vt:i4>0</vt:i4>
      </vt:variant>
      <vt:variant>
        <vt:i4>5</vt:i4>
      </vt:variant>
      <vt:variant>
        <vt:lpwstr/>
      </vt:variant>
      <vt:variant>
        <vt:lpwstr>_Toc239862900</vt:lpwstr>
      </vt:variant>
      <vt:variant>
        <vt:i4>1507381</vt:i4>
      </vt:variant>
      <vt:variant>
        <vt:i4>122</vt:i4>
      </vt:variant>
      <vt:variant>
        <vt:i4>0</vt:i4>
      </vt:variant>
      <vt:variant>
        <vt:i4>5</vt:i4>
      </vt:variant>
      <vt:variant>
        <vt:lpwstr/>
      </vt:variant>
      <vt:variant>
        <vt:lpwstr>_Toc239862899</vt:lpwstr>
      </vt:variant>
      <vt:variant>
        <vt:i4>1507381</vt:i4>
      </vt:variant>
      <vt:variant>
        <vt:i4>116</vt:i4>
      </vt:variant>
      <vt:variant>
        <vt:i4>0</vt:i4>
      </vt:variant>
      <vt:variant>
        <vt:i4>5</vt:i4>
      </vt:variant>
      <vt:variant>
        <vt:lpwstr/>
      </vt:variant>
      <vt:variant>
        <vt:lpwstr>_Toc239862898</vt:lpwstr>
      </vt:variant>
      <vt:variant>
        <vt:i4>1507381</vt:i4>
      </vt:variant>
      <vt:variant>
        <vt:i4>110</vt:i4>
      </vt:variant>
      <vt:variant>
        <vt:i4>0</vt:i4>
      </vt:variant>
      <vt:variant>
        <vt:i4>5</vt:i4>
      </vt:variant>
      <vt:variant>
        <vt:lpwstr/>
      </vt:variant>
      <vt:variant>
        <vt:lpwstr>_Toc239862897</vt:lpwstr>
      </vt:variant>
      <vt:variant>
        <vt:i4>1507381</vt:i4>
      </vt:variant>
      <vt:variant>
        <vt:i4>104</vt:i4>
      </vt:variant>
      <vt:variant>
        <vt:i4>0</vt:i4>
      </vt:variant>
      <vt:variant>
        <vt:i4>5</vt:i4>
      </vt:variant>
      <vt:variant>
        <vt:lpwstr/>
      </vt:variant>
      <vt:variant>
        <vt:lpwstr>_Toc239862896</vt:lpwstr>
      </vt:variant>
      <vt:variant>
        <vt:i4>1507381</vt:i4>
      </vt:variant>
      <vt:variant>
        <vt:i4>98</vt:i4>
      </vt:variant>
      <vt:variant>
        <vt:i4>0</vt:i4>
      </vt:variant>
      <vt:variant>
        <vt:i4>5</vt:i4>
      </vt:variant>
      <vt:variant>
        <vt:lpwstr/>
      </vt:variant>
      <vt:variant>
        <vt:lpwstr>_Toc239862895</vt:lpwstr>
      </vt:variant>
      <vt:variant>
        <vt:i4>1507381</vt:i4>
      </vt:variant>
      <vt:variant>
        <vt:i4>92</vt:i4>
      </vt:variant>
      <vt:variant>
        <vt:i4>0</vt:i4>
      </vt:variant>
      <vt:variant>
        <vt:i4>5</vt:i4>
      </vt:variant>
      <vt:variant>
        <vt:lpwstr/>
      </vt:variant>
      <vt:variant>
        <vt:lpwstr>_Toc239862894</vt:lpwstr>
      </vt:variant>
      <vt:variant>
        <vt:i4>1507381</vt:i4>
      </vt:variant>
      <vt:variant>
        <vt:i4>86</vt:i4>
      </vt:variant>
      <vt:variant>
        <vt:i4>0</vt:i4>
      </vt:variant>
      <vt:variant>
        <vt:i4>5</vt:i4>
      </vt:variant>
      <vt:variant>
        <vt:lpwstr/>
      </vt:variant>
      <vt:variant>
        <vt:lpwstr>_Toc239862893</vt:lpwstr>
      </vt:variant>
      <vt:variant>
        <vt:i4>1507381</vt:i4>
      </vt:variant>
      <vt:variant>
        <vt:i4>80</vt:i4>
      </vt:variant>
      <vt:variant>
        <vt:i4>0</vt:i4>
      </vt:variant>
      <vt:variant>
        <vt:i4>5</vt:i4>
      </vt:variant>
      <vt:variant>
        <vt:lpwstr/>
      </vt:variant>
      <vt:variant>
        <vt:lpwstr>_Toc239862892</vt:lpwstr>
      </vt:variant>
      <vt:variant>
        <vt:i4>1507381</vt:i4>
      </vt:variant>
      <vt:variant>
        <vt:i4>74</vt:i4>
      </vt:variant>
      <vt:variant>
        <vt:i4>0</vt:i4>
      </vt:variant>
      <vt:variant>
        <vt:i4>5</vt:i4>
      </vt:variant>
      <vt:variant>
        <vt:lpwstr/>
      </vt:variant>
      <vt:variant>
        <vt:lpwstr>_Toc239862891</vt:lpwstr>
      </vt:variant>
      <vt:variant>
        <vt:i4>1507381</vt:i4>
      </vt:variant>
      <vt:variant>
        <vt:i4>68</vt:i4>
      </vt:variant>
      <vt:variant>
        <vt:i4>0</vt:i4>
      </vt:variant>
      <vt:variant>
        <vt:i4>5</vt:i4>
      </vt:variant>
      <vt:variant>
        <vt:lpwstr/>
      </vt:variant>
      <vt:variant>
        <vt:lpwstr>_Toc239862890</vt:lpwstr>
      </vt:variant>
      <vt:variant>
        <vt:i4>1441845</vt:i4>
      </vt:variant>
      <vt:variant>
        <vt:i4>62</vt:i4>
      </vt:variant>
      <vt:variant>
        <vt:i4>0</vt:i4>
      </vt:variant>
      <vt:variant>
        <vt:i4>5</vt:i4>
      </vt:variant>
      <vt:variant>
        <vt:lpwstr/>
      </vt:variant>
      <vt:variant>
        <vt:lpwstr>_Toc239862889</vt:lpwstr>
      </vt:variant>
      <vt:variant>
        <vt:i4>1441845</vt:i4>
      </vt:variant>
      <vt:variant>
        <vt:i4>56</vt:i4>
      </vt:variant>
      <vt:variant>
        <vt:i4>0</vt:i4>
      </vt:variant>
      <vt:variant>
        <vt:i4>5</vt:i4>
      </vt:variant>
      <vt:variant>
        <vt:lpwstr/>
      </vt:variant>
      <vt:variant>
        <vt:lpwstr>_Toc239862888</vt:lpwstr>
      </vt:variant>
      <vt:variant>
        <vt:i4>1441845</vt:i4>
      </vt:variant>
      <vt:variant>
        <vt:i4>50</vt:i4>
      </vt:variant>
      <vt:variant>
        <vt:i4>0</vt:i4>
      </vt:variant>
      <vt:variant>
        <vt:i4>5</vt:i4>
      </vt:variant>
      <vt:variant>
        <vt:lpwstr/>
      </vt:variant>
      <vt:variant>
        <vt:lpwstr>_Toc239862887</vt:lpwstr>
      </vt:variant>
      <vt:variant>
        <vt:i4>1441845</vt:i4>
      </vt:variant>
      <vt:variant>
        <vt:i4>44</vt:i4>
      </vt:variant>
      <vt:variant>
        <vt:i4>0</vt:i4>
      </vt:variant>
      <vt:variant>
        <vt:i4>5</vt:i4>
      </vt:variant>
      <vt:variant>
        <vt:lpwstr/>
      </vt:variant>
      <vt:variant>
        <vt:lpwstr>_Toc239862886</vt:lpwstr>
      </vt:variant>
      <vt:variant>
        <vt:i4>1441845</vt:i4>
      </vt:variant>
      <vt:variant>
        <vt:i4>38</vt:i4>
      </vt:variant>
      <vt:variant>
        <vt:i4>0</vt:i4>
      </vt:variant>
      <vt:variant>
        <vt:i4>5</vt:i4>
      </vt:variant>
      <vt:variant>
        <vt:lpwstr/>
      </vt:variant>
      <vt:variant>
        <vt:lpwstr>_Toc239862885</vt:lpwstr>
      </vt:variant>
      <vt:variant>
        <vt:i4>1441845</vt:i4>
      </vt:variant>
      <vt:variant>
        <vt:i4>32</vt:i4>
      </vt:variant>
      <vt:variant>
        <vt:i4>0</vt:i4>
      </vt:variant>
      <vt:variant>
        <vt:i4>5</vt:i4>
      </vt:variant>
      <vt:variant>
        <vt:lpwstr/>
      </vt:variant>
      <vt:variant>
        <vt:lpwstr>_Toc239862884</vt:lpwstr>
      </vt:variant>
      <vt:variant>
        <vt:i4>1441845</vt:i4>
      </vt:variant>
      <vt:variant>
        <vt:i4>26</vt:i4>
      </vt:variant>
      <vt:variant>
        <vt:i4>0</vt:i4>
      </vt:variant>
      <vt:variant>
        <vt:i4>5</vt:i4>
      </vt:variant>
      <vt:variant>
        <vt:lpwstr/>
      </vt:variant>
      <vt:variant>
        <vt:lpwstr>_Toc239862883</vt:lpwstr>
      </vt:variant>
      <vt:variant>
        <vt:i4>1441845</vt:i4>
      </vt:variant>
      <vt:variant>
        <vt:i4>20</vt:i4>
      </vt:variant>
      <vt:variant>
        <vt:i4>0</vt:i4>
      </vt:variant>
      <vt:variant>
        <vt:i4>5</vt:i4>
      </vt:variant>
      <vt:variant>
        <vt:lpwstr/>
      </vt:variant>
      <vt:variant>
        <vt:lpwstr>_Toc239862882</vt:lpwstr>
      </vt:variant>
      <vt:variant>
        <vt:i4>1441845</vt:i4>
      </vt:variant>
      <vt:variant>
        <vt:i4>14</vt:i4>
      </vt:variant>
      <vt:variant>
        <vt:i4>0</vt:i4>
      </vt:variant>
      <vt:variant>
        <vt:i4>5</vt:i4>
      </vt:variant>
      <vt:variant>
        <vt:lpwstr/>
      </vt:variant>
      <vt:variant>
        <vt:lpwstr>_Toc239862881</vt:lpwstr>
      </vt:variant>
      <vt:variant>
        <vt:i4>1441845</vt:i4>
      </vt:variant>
      <vt:variant>
        <vt:i4>8</vt:i4>
      </vt:variant>
      <vt:variant>
        <vt:i4>0</vt:i4>
      </vt:variant>
      <vt:variant>
        <vt:i4>5</vt:i4>
      </vt:variant>
      <vt:variant>
        <vt:lpwstr/>
      </vt:variant>
      <vt:variant>
        <vt:lpwstr>_Toc239862880</vt:lpwstr>
      </vt:variant>
      <vt:variant>
        <vt:i4>1638453</vt:i4>
      </vt:variant>
      <vt:variant>
        <vt:i4>2</vt:i4>
      </vt:variant>
      <vt:variant>
        <vt:i4>0</vt:i4>
      </vt:variant>
      <vt:variant>
        <vt:i4>5</vt:i4>
      </vt:variant>
      <vt:variant>
        <vt:lpwstr/>
      </vt:variant>
      <vt:variant>
        <vt:lpwstr>_Toc239862877</vt:lpwstr>
      </vt:variant>
      <vt:variant>
        <vt:i4>5308491</vt:i4>
      </vt:variant>
      <vt:variant>
        <vt:i4>141</vt:i4>
      </vt:variant>
      <vt:variant>
        <vt:i4>0</vt:i4>
      </vt:variant>
      <vt:variant>
        <vt:i4>5</vt:i4>
      </vt:variant>
      <vt:variant>
        <vt:lpwstr>https://lis.virginia.gov/bill-details/20261/SB382</vt:lpwstr>
      </vt:variant>
      <vt:variant>
        <vt:lpwstr/>
      </vt:variant>
      <vt:variant>
        <vt:i4>5308492</vt:i4>
      </vt:variant>
      <vt:variant>
        <vt:i4>135</vt:i4>
      </vt:variant>
      <vt:variant>
        <vt:i4>0</vt:i4>
      </vt:variant>
      <vt:variant>
        <vt:i4>5</vt:i4>
      </vt:variant>
      <vt:variant>
        <vt:lpwstr>https://lis.virginia.gov/bill-details/20261/SB487</vt:lpwstr>
      </vt:variant>
      <vt:variant>
        <vt:lpwstr/>
      </vt:variant>
      <vt:variant>
        <vt:i4>5963840</vt:i4>
      </vt:variant>
      <vt:variant>
        <vt:i4>129</vt:i4>
      </vt:variant>
      <vt:variant>
        <vt:i4>0</vt:i4>
      </vt:variant>
      <vt:variant>
        <vt:i4>5</vt:i4>
      </vt:variant>
      <vt:variant>
        <vt:lpwstr>https://lis.virginia.gov/bill-details/20261/SB823</vt:lpwstr>
      </vt:variant>
      <vt:variant>
        <vt:lpwstr/>
      </vt:variant>
      <vt:variant>
        <vt:i4>7209063</vt:i4>
      </vt:variant>
      <vt:variant>
        <vt:i4>126</vt:i4>
      </vt:variant>
      <vt:variant>
        <vt:i4>0</vt:i4>
      </vt:variant>
      <vt:variant>
        <vt:i4>5</vt:i4>
      </vt:variant>
      <vt:variant>
        <vt:lpwstr>https://lis.virginia.gov/bill-details/20261/HB1255</vt:lpwstr>
      </vt:variant>
      <vt:variant>
        <vt:lpwstr/>
      </vt:variant>
      <vt:variant>
        <vt:i4>5963861</vt:i4>
      </vt:variant>
      <vt:variant>
        <vt:i4>117</vt:i4>
      </vt:variant>
      <vt:variant>
        <vt:i4>0</vt:i4>
      </vt:variant>
      <vt:variant>
        <vt:i4>5</vt:i4>
      </vt:variant>
      <vt:variant>
        <vt:lpwstr>https://lis.virginia.gov/bill-details/20261/HB628</vt:lpwstr>
      </vt:variant>
      <vt:variant>
        <vt:lpwstr/>
      </vt:variant>
      <vt:variant>
        <vt:i4>6160474</vt:i4>
      </vt:variant>
      <vt:variant>
        <vt:i4>114</vt:i4>
      </vt:variant>
      <vt:variant>
        <vt:i4>0</vt:i4>
      </vt:variant>
      <vt:variant>
        <vt:i4>5</vt:i4>
      </vt:variant>
      <vt:variant>
        <vt:lpwstr>https://legiscan.com/VA/text/SB621/id/3361187</vt:lpwstr>
      </vt:variant>
      <vt:variant>
        <vt:lpwstr/>
      </vt:variant>
      <vt:variant>
        <vt:i4>6750318</vt:i4>
      </vt:variant>
      <vt:variant>
        <vt:i4>111</vt:i4>
      </vt:variant>
      <vt:variant>
        <vt:i4>0</vt:i4>
      </vt:variant>
      <vt:variant>
        <vt:i4>5</vt:i4>
      </vt:variant>
      <vt:variant>
        <vt:lpwstr>https://lis.virginia.gov/bill-details/20261/HB434/text/CHAP0611</vt:lpwstr>
      </vt:variant>
      <vt:variant>
        <vt:lpwstr/>
      </vt:variant>
      <vt:variant>
        <vt:i4>5308497</vt:i4>
      </vt:variant>
      <vt:variant>
        <vt:i4>108</vt:i4>
      </vt:variant>
      <vt:variant>
        <vt:i4>0</vt:i4>
      </vt:variant>
      <vt:variant>
        <vt:i4>5</vt:i4>
      </vt:variant>
      <vt:variant>
        <vt:lpwstr>https://lis.virginia.gov/bill-details/20261/HB284</vt:lpwstr>
      </vt:variant>
      <vt:variant>
        <vt:lpwstr/>
      </vt:variant>
      <vt:variant>
        <vt:i4>6291538</vt:i4>
      </vt:variant>
      <vt:variant>
        <vt:i4>105</vt:i4>
      </vt:variant>
      <vt:variant>
        <vt:i4>0</vt:i4>
      </vt:variant>
      <vt:variant>
        <vt:i4>5</vt:i4>
      </vt:variant>
      <vt:variant>
        <vt:lpwstr>https://dls.virginia.gov/commissions/eur/files/Energy_Legislation_Virginia_2026_CEUR_Summary.pdf</vt:lpwstr>
      </vt:variant>
      <vt:variant>
        <vt:lpwstr/>
      </vt:variant>
      <vt:variant>
        <vt:i4>5242971</vt:i4>
      </vt:variant>
      <vt:variant>
        <vt:i4>102</vt:i4>
      </vt:variant>
      <vt:variant>
        <vt:i4>0</vt:i4>
      </vt:variant>
      <vt:variant>
        <vt:i4>5</vt:i4>
      </vt:variant>
      <vt:variant>
        <vt:lpwstr>https://lis.virginia.gov/bill-details/20261/HB895</vt:lpwstr>
      </vt:variant>
      <vt:variant>
        <vt:lpwstr/>
      </vt:variant>
      <vt:variant>
        <vt:i4>5832795</vt:i4>
      </vt:variant>
      <vt:variant>
        <vt:i4>99</vt:i4>
      </vt:variant>
      <vt:variant>
        <vt:i4>0</vt:i4>
      </vt:variant>
      <vt:variant>
        <vt:i4>5</vt:i4>
      </vt:variant>
      <vt:variant>
        <vt:lpwstr>https://lis.virginia.gov/bill-details/20261/HB809</vt:lpwstr>
      </vt:variant>
      <vt:variant>
        <vt:lpwstr/>
      </vt:variant>
      <vt:variant>
        <vt:i4>7340140</vt:i4>
      </vt:variant>
      <vt:variant>
        <vt:i4>96</vt:i4>
      </vt:variant>
      <vt:variant>
        <vt:i4>0</vt:i4>
      </vt:variant>
      <vt:variant>
        <vt:i4>5</vt:i4>
      </vt:variant>
      <vt:variant>
        <vt:lpwstr>https://www.dominionenergy.com/virginia/renewable-energy-programs/shared-solar-program</vt:lpwstr>
      </vt:variant>
      <vt:variant>
        <vt:lpwstr/>
      </vt:variant>
      <vt:variant>
        <vt:i4>5832795</vt:i4>
      </vt:variant>
      <vt:variant>
        <vt:i4>93</vt:i4>
      </vt:variant>
      <vt:variant>
        <vt:i4>0</vt:i4>
      </vt:variant>
      <vt:variant>
        <vt:i4>5</vt:i4>
      </vt:variant>
      <vt:variant>
        <vt:lpwstr>https://lis.virginia.gov/bill-details/20261/HB807</vt:lpwstr>
      </vt:variant>
      <vt:variant>
        <vt:lpwstr/>
      </vt:variant>
      <vt:variant>
        <vt:i4>5308497</vt:i4>
      </vt:variant>
      <vt:variant>
        <vt:i4>90</vt:i4>
      </vt:variant>
      <vt:variant>
        <vt:i4>0</vt:i4>
      </vt:variant>
      <vt:variant>
        <vt:i4>5</vt:i4>
      </vt:variant>
      <vt:variant>
        <vt:lpwstr>https://lis.virginia.gov/bill-details/20261/HB285</vt:lpwstr>
      </vt:variant>
      <vt:variant>
        <vt:lpwstr/>
      </vt:variant>
      <vt:variant>
        <vt:i4>5505099</vt:i4>
      </vt:variant>
      <vt:variant>
        <vt:i4>87</vt:i4>
      </vt:variant>
      <vt:variant>
        <vt:i4>0</vt:i4>
      </vt:variant>
      <vt:variant>
        <vt:i4>5</vt:i4>
      </vt:variant>
      <vt:variant>
        <vt:lpwstr>https://law.lis.virginia.gov/vacode/56-585.5/</vt:lpwstr>
      </vt:variant>
      <vt:variant>
        <vt:lpwstr/>
      </vt:variant>
      <vt:variant>
        <vt:i4>6881336</vt:i4>
      </vt:variant>
      <vt:variant>
        <vt:i4>84</vt:i4>
      </vt:variant>
      <vt:variant>
        <vt:i4>0</vt:i4>
      </vt:variant>
      <vt:variant>
        <vt:i4>5</vt:i4>
      </vt:variant>
      <vt:variant>
        <vt:lpwstr>\Users\tedko\My Drive (ted@epdiusa.org)\Projects\VA DER Task Force\Task Force Report\Virginia Mercury, Nov. 15, 2019</vt:lpwstr>
      </vt:variant>
      <vt:variant>
        <vt:lpwstr/>
      </vt:variant>
      <vt:variant>
        <vt:i4>1769474</vt:i4>
      </vt:variant>
      <vt:variant>
        <vt:i4>81</vt:i4>
      </vt:variant>
      <vt:variant>
        <vt:i4>0</vt:i4>
      </vt:variant>
      <vt:variant>
        <vt:i4>5</vt:i4>
      </vt:variant>
      <vt:variant>
        <vt:lpwstr>https://law.lis.virginia.gov/uncodifiedacts/2018/session1/chapter296/</vt:lpwstr>
      </vt:variant>
      <vt:variant>
        <vt:lpwstr/>
      </vt:variant>
      <vt:variant>
        <vt:i4>7995508</vt:i4>
      </vt:variant>
      <vt:variant>
        <vt:i4>78</vt:i4>
      </vt:variant>
      <vt:variant>
        <vt:i4>0</vt:i4>
      </vt:variant>
      <vt:variant>
        <vt:i4>5</vt:i4>
      </vt:variant>
      <vt:variant>
        <vt:lpwstr>https://www.appalachianpower.com/clean-energy/renewable/solar/shared-solar-program</vt:lpwstr>
      </vt:variant>
      <vt:variant>
        <vt:lpwstr/>
      </vt:variant>
      <vt:variant>
        <vt:i4>7340140</vt:i4>
      </vt:variant>
      <vt:variant>
        <vt:i4>75</vt:i4>
      </vt:variant>
      <vt:variant>
        <vt:i4>0</vt:i4>
      </vt:variant>
      <vt:variant>
        <vt:i4>5</vt:i4>
      </vt:variant>
      <vt:variant>
        <vt:lpwstr>https://www.dominionenergy.com/virginia/renewable-energy-programs/shared-solar-program</vt:lpwstr>
      </vt:variant>
      <vt:variant>
        <vt:lpwstr/>
      </vt:variant>
      <vt:variant>
        <vt:i4>4128816</vt:i4>
      </vt:variant>
      <vt:variant>
        <vt:i4>72</vt:i4>
      </vt:variant>
      <vt:variant>
        <vt:i4>0</vt:i4>
      </vt:variant>
      <vt:variant>
        <vt:i4>5</vt:i4>
      </vt:variant>
      <vt:variant>
        <vt:lpwstr>https://www.dominionenergy.com/-/media/content/about/our-company/irp/pdfs/2025-integrated-resource-plan-update.pdf</vt:lpwstr>
      </vt:variant>
      <vt:variant>
        <vt:lpwstr/>
      </vt:variant>
      <vt:variant>
        <vt:i4>6094931</vt:i4>
      </vt:variant>
      <vt:variant>
        <vt:i4>69</vt:i4>
      </vt:variant>
      <vt:variant>
        <vt:i4>0</vt:i4>
      </vt:variant>
      <vt:variant>
        <vt:i4>5</vt:i4>
      </vt:variant>
      <vt:variant>
        <vt:lpwstr>https://www.eia.gov/todayinenergy/detail.php?id=67664</vt:lpwstr>
      </vt:variant>
      <vt:variant>
        <vt:lpwstr/>
      </vt:variant>
      <vt:variant>
        <vt:i4>6094931</vt:i4>
      </vt:variant>
      <vt:variant>
        <vt:i4>66</vt:i4>
      </vt:variant>
      <vt:variant>
        <vt:i4>0</vt:i4>
      </vt:variant>
      <vt:variant>
        <vt:i4>5</vt:i4>
      </vt:variant>
      <vt:variant>
        <vt:lpwstr>https://www.eia.gov/todayinenergy/detail.php?id=67664</vt:lpwstr>
      </vt:variant>
      <vt:variant>
        <vt:lpwstr/>
      </vt:variant>
      <vt:variant>
        <vt:i4>2949156</vt:i4>
      </vt:variant>
      <vt:variant>
        <vt:i4>63</vt:i4>
      </vt:variant>
      <vt:variant>
        <vt:i4>0</vt:i4>
      </vt:variant>
      <vt:variant>
        <vt:i4>5</vt:i4>
      </vt:variant>
      <vt:variant>
        <vt:lpwstr>https://www.pjm.com/-/media/DotCom/committees-groups/subcommittees/disrs/2026/20260406/20260406-item-03-1--ferc-order-2222-timeline-and-registration-process---presentation.pdf</vt:lpwstr>
      </vt:variant>
      <vt:variant>
        <vt:lpwstr/>
      </vt:variant>
      <vt:variant>
        <vt:i4>5505024</vt:i4>
      </vt:variant>
      <vt:variant>
        <vt:i4>60</vt:i4>
      </vt:variant>
      <vt:variant>
        <vt:i4>0</vt:i4>
      </vt:variant>
      <vt:variant>
        <vt:i4>5</vt:i4>
      </vt:variant>
      <vt:variant>
        <vt:lpwstr>https://law.lis.virginia.gov/vacode/title56/chapter23/section56-585.1:16/</vt:lpwstr>
      </vt:variant>
      <vt:variant>
        <vt:lpwstr/>
      </vt:variant>
      <vt:variant>
        <vt:i4>5636097</vt:i4>
      </vt:variant>
      <vt:variant>
        <vt:i4>57</vt:i4>
      </vt:variant>
      <vt:variant>
        <vt:i4>0</vt:i4>
      </vt:variant>
      <vt:variant>
        <vt:i4>5</vt:i4>
      </vt:variant>
      <vt:variant>
        <vt:lpwstr>https://www.brattle.com/wp-content/uploads/2025/08/Assessing-VPP-Performance-Impacts-of-a-Test-Event-in-California-1.pdf</vt:lpwstr>
      </vt:variant>
      <vt:variant>
        <vt:lpwstr/>
      </vt:variant>
      <vt:variant>
        <vt:i4>5505024</vt:i4>
      </vt:variant>
      <vt:variant>
        <vt:i4>54</vt:i4>
      </vt:variant>
      <vt:variant>
        <vt:i4>0</vt:i4>
      </vt:variant>
      <vt:variant>
        <vt:i4>5</vt:i4>
      </vt:variant>
      <vt:variant>
        <vt:lpwstr>https://law.lis.virginia.gov/vacode/title56/chapter23/section56-585.1:16/</vt:lpwstr>
      </vt:variant>
      <vt:variant>
        <vt:lpwstr/>
      </vt:variant>
      <vt:variant>
        <vt:i4>196610</vt:i4>
      </vt:variant>
      <vt:variant>
        <vt:i4>51</vt:i4>
      </vt:variant>
      <vt:variant>
        <vt:i4>0</vt:i4>
      </vt:variant>
      <vt:variant>
        <vt:i4>5</vt:i4>
      </vt:variant>
      <vt:variant>
        <vt:lpwstr>https://ma-eeac.org/results-reporting/quarterly-reports/</vt:lpwstr>
      </vt:variant>
      <vt:variant>
        <vt:lpwstr/>
      </vt:variant>
      <vt:variant>
        <vt:i4>4653123</vt:i4>
      </vt:variant>
      <vt:variant>
        <vt:i4>48</vt:i4>
      </vt:variant>
      <vt:variant>
        <vt:i4>0</vt:i4>
      </vt:variant>
      <vt:variant>
        <vt:i4>5</vt:i4>
      </vt:variant>
      <vt:variant>
        <vt:lpwstr>https://www.cleanegroup.org/wp-content/uploads/ConnectedSolutions-An-Assessment-for-Massachusetts.pdf</vt:lpwstr>
      </vt:variant>
      <vt:variant>
        <vt:lpwstr/>
      </vt:variant>
      <vt:variant>
        <vt:i4>5046354</vt:i4>
      </vt:variant>
      <vt:variant>
        <vt:i4>45</vt:i4>
      </vt:variant>
      <vt:variant>
        <vt:i4>0</vt:i4>
      </vt:variant>
      <vt:variant>
        <vt:i4>5</vt:i4>
      </vt:variant>
      <vt:variant>
        <vt:lpwstr>https://ma-eeac.org/wp-content/uploads/Quarterly-Report-of-the-PAs-2020-Q4-Final.pdf</vt:lpwstr>
      </vt:variant>
      <vt:variant>
        <vt:lpwstr/>
      </vt:variant>
      <vt:variant>
        <vt:i4>4653123</vt:i4>
      </vt:variant>
      <vt:variant>
        <vt:i4>42</vt:i4>
      </vt:variant>
      <vt:variant>
        <vt:i4>0</vt:i4>
      </vt:variant>
      <vt:variant>
        <vt:i4>5</vt:i4>
      </vt:variant>
      <vt:variant>
        <vt:lpwstr>https://www.cleanegroup.org/wp-content/uploads/ConnectedSolutions-An-Assessment-for-Massachusetts.pdf</vt:lpwstr>
      </vt:variant>
      <vt:variant>
        <vt:lpwstr/>
      </vt:variant>
      <vt:variant>
        <vt:i4>7667820</vt:i4>
      </vt:variant>
      <vt:variant>
        <vt:i4>39</vt:i4>
      </vt:variant>
      <vt:variant>
        <vt:i4>0</vt:i4>
      </vt:variant>
      <vt:variant>
        <vt:i4>5</vt:i4>
      </vt:variant>
      <vt:variant>
        <vt:lpwstr>https://liftoff.energy.gov/wp-content/uploads/2025/01/LIFTOFF_DOE_VirtualPowerPlants2025Update.pdf</vt:lpwstr>
      </vt:variant>
      <vt:variant>
        <vt:lpwstr/>
      </vt:variant>
      <vt:variant>
        <vt:i4>3342434</vt:i4>
      </vt:variant>
      <vt:variant>
        <vt:i4>36</vt:i4>
      </vt:variant>
      <vt:variant>
        <vt:i4>0</vt:i4>
      </vt:variant>
      <vt:variant>
        <vt:i4>5</vt:i4>
      </vt:variant>
      <vt:variant>
        <vt:lpwstr>https://www.brattle.com/the-untapped-grid/</vt:lpwstr>
      </vt:variant>
      <vt:variant>
        <vt:lpwstr/>
      </vt:variant>
      <vt:variant>
        <vt:i4>5701636</vt:i4>
      </vt:variant>
      <vt:variant>
        <vt:i4>33</vt:i4>
      </vt:variant>
      <vt:variant>
        <vt:i4>0</vt:i4>
      </vt:variant>
      <vt:variant>
        <vt:i4>5</vt:i4>
      </vt:variant>
      <vt:variant>
        <vt:lpwstr>https://www.utilitydive.com/news/better-grid-utilization-could-save-customers-170b-brattle-report/815436/</vt:lpwstr>
      </vt:variant>
      <vt:variant>
        <vt:lpwstr/>
      </vt:variant>
      <vt:variant>
        <vt:i4>327785</vt:i4>
      </vt:variant>
      <vt:variant>
        <vt:i4>30</vt:i4>
      </vt:variant>
      <vt:variant>
        <vt:i4>0</vt:i4>
      </vt:variant>
      <vt:variant>
        <vt:i4>5</vt:i4>
      </vt:variant>
      <vt:variant>
        <vt:lpwstr>https://www.energy.gov/sites/default/files/2024-10/DOE_OP_2024_Report-Transmission_Impact_Assessment.pdf</vt:lpwstr>
      </vt:variant>
      <vt:variant>
        <vt:lpwstr/>
      </vt:variant>
      <vt:variant>
        <vt:i4>6029383</vt:i4>
      </vt:variant>
      <vt:variant>
        <vt:i4>27</vt:i4>
      </vt:variant>
      <vt:variant>
        <vt:i4>0</vt:i4>
      </vt:variant>
      <vt:variant>
        <vt:i4>5</vt:i4>
      </vt:variant>
      <vt:variant>
        <vt:lpwstr>https://greenmountainpower.com/news/gmps-growing-stored-energy-network-delivers-6m-in-savings-during-july-heat-wave/</vt:lpwstr>
      </vt:variant>
      <vt:variant>
        <vt:lpwstr/>
      </vt:variant>
      <vt:variant>
        <vt:i4>6029398</vt:i4>
      </vt:variant>
      <vt:variant>
        <vt:i4>24</vt:i4>
      </vt:variant>
      <vt:variant>
        <vt:i4>0</vt:i4>
      </vt:variant>
      <vt:variant>
        <vt:i4>5</vt:i4>
      </vt:variant>
      <vt:variant>
        <vt:lpwstr>https://www.brattle.com/wp-content/uploads/2026/03/The-Untapped-Grid-Mar-2026.pdf</vt:lpwstr>
      </vt:variant>
      <vt:variant>
        <vt:lpwstr/>
      </vt:variant>
      <vt:variant>
        <vt:i4>6357092</vt:i4>
      </vt:variant>
      <vt:variant>
        <vt:i4>21</vt:i4>
      </vt:variant>
      <vt:variant>
        <vt:i4>0</vt:i4>
      </vt:variant>
      <vt:variant>
        <vt:i4>5</vt:i4>
      </vt:variant>
      <vt:variant>
        <vt:lpwstr>https://www.eia.gov/analysis/studies/buildings/dg_storage_chp/</vt:lpwstr>
      </vt:variant>
      <vt:variant>
        <vt:lpwstr/>
      </vt:variant>
      <vt:variant>
        <vt:i4>4325454</vt:i4>
      </vt:variant>
      <vt:variant>
        <vt:i4>18</vt:i4>
      </vt:variant>
      <vt:variant>
        <vt:i4>0</vt:i4>
      </vt:variant>
      <vt:variant>
        <vt:i4>5</vt:i4>
      </vt:variant>
      <vt:variant>
        <vt:lpwstr>https://bloombergcities.jhu.edu/faqs/how-can-municipalities-fund-resilience-hubs</vt:lpwstr>
      </vt:variant>
      <vt:variant>
        <vt:lpwstr/>
      </vt:variant>
      <vt:variant>
        <vt:i4>5439514</vt:i4>
      </vt:variant>
      <vt:variant>
        <vt:i4>15</vt:i4>
      </vt:variant>
      <vt:variant>
        <vt:i4>0</vt:i4>
      </vt:variant>
      <vt:variant>
        <vt:i4>5</vt:i4>
      </vt:variant>
      <vt:variant>
        <vt:lpwstr>https://www.energy.gov/oe/microgrids-rd-mgrd-portfolio-activities</vt:lpwstr>
      </vt:variant>
      <vt:variant>
        <vt:lpwstr/>
      </vt:variant>
      <vt:variant>
        <vt:i4>3473461</vt:i4>
      </vt:variant>
      <vt:variant>
        <vt:i4>12</vt:i4>
      </vt:variant>
      <vt:variant>
        <vt:i4>0</vt:i4>
      </vt:variant>
      <vt:variant>
        <vt:i4>5</vt:i4>
      </vt:variant>
      <vt:variant>
        <vt:lpwstr>https://www.ferc.gov/ferc-order-no-2222-explainer-facilitating-participation-electricity-markets-distributed-energy</vt:lpwstr>
      </vt:variant>
      <vt:variant>
        <vt:lpwstr/>
      </vt:variant>
      <vt:variant>
        <vt:i4>65536</vt:i4>
      </vt:variant>
      <vt:variant>
        <vt:i4>9</vt:i4>
      </vt:variant>
      <vt:variant>
        <vt:i4>0</vt:i4>
      </vt:variant>
      <vt:variant>
        <vt:i4>5</vt:i4>
      </vt:variant>
      <vt:variant>
        <vt:lpwstr>https://www.ferc.gov/media/ferc-order-no-2222-fact-sheet</vt:lpwstr>
      </vt:variant>
      <vt:variant>
        <vt:lpwstr/>
      </vt:variant>
      <vt:variant>
        <vt:i4>5505024</vt:i4>
      </vt:variant>
      <vt:variant>
        <vt:i4>6</vt:i4>
      </vt:variant>
      <vt:variant>
        <vt:i4>0</vt:i4>
      </vt:variant>
      <vt:variant>
        <vt:i4>5</vt:i4>
      </vt:variant>
      <vt:variant>
        <vt:lpwstr>https://law.lis.virginia.gov/vacode/title56/chapter23/section56-585.1:16/</vt:lpwstr>
      </vt:variant>
      <vt:variant>
        <vt:lpwstr/>
      </vt:variant>
      <vt:variant>
        <vt:i4>4063349</vt:i4>
      </vt:variant>
      <vt:variant>
        <vt:i4>3</vt:i4>
      </vt:variant>
      <vt:variant>
        <vt:i4>0</vt:i4>
      </vt:variant>
      <vt:variant>
        <vt:i4>5</vt:i4>
      </vt:variant>
      <vt:variant>
        <vt:lpwstr>https://www.pew.org/en/research-and-analysis/reports/2026/04/distributed-energy-can-unleash-the-resilient-affordable-grid-of-the-future</vt:lpwstr>
      </vt:variant>
      <vt:variant>
        <vt:lpwstr/>
      </vt:variant>
      <vt:variant>
        <vt:i4>65605</vt:i4>
      </vt:variant>
      <vt:variant>
        <vt:i4>0</vt:i4>
      </vt:variant>
      <vt:variant>
        <vt:i4>0</vt:i4>
      </vt:variant>
      <vt:variant>
        <vt:i4>5</vt:i4>
      </vt:variant>
      <vt:variant>
        <vt:lpwstr>https://www.naruc.org/core-sectors/energy-resources-and-the-environment/der-integration-compensation/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Distributed Energy Resources Task Force — Draft Report Template</dc:title>
  <dc:subject/>
  <dc:creator>Virginia DER Task Force</dc:creator>
  <cp:keywords/>
  <cp:lastModifiedBy>White, Louise (GOV)</cp:lastModifiedBy>
  <cp:revision>367</cp:revision>
  <dcterms:created xsi:type="dcterms:W3CDTF">2026-09-08T14:17:00Z</dcterms:created>
  <dcterms:modified xsi:type="dcterms:W3CDTF">2026-09-09T20:40:00Z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0x01010018E871BF946790438BF4CEC8492BA1B3</vt:lpwstr>
  </property>
  <property fmtid="{D5CDD505-2E9C-101B-9397-08002B2CF9AE}" pid="3" name="docLang">
    <vt:lpwstr>en</vt:lpwstr>
  </property>
  <property fmtid="{D5CDD505-2E9C-101B-9397-08002B2CF9AE}" pid="4" name="MediaServiceImageTags">
    <vt:lpwstr/>
  </property>
</Properties>
</file>